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0AC1DB">
      <w:pPr>
        <w:rPr>
          <w:rFonts w:hint="eastAsia" w:ascii="仿宋" w:hAnsi="仿宋" w:eastAsia="仿宋" w:cs="Times New Roman"/>
          <w:b/>
          <w:bCs w:val="0"/>
          <w:color w:val="auto"/>
          <w:sz w:val="44"/>
          <w:szCs w:val="44"/>
          <w:highlight w:val="none"/>
          <w:u w:val="single"/>
          <w:lang w:val="en-US" w:eastAsia="zh-CN"/>
        </w:rPr>
      </w:pPr>
    </w:p>
    <w:p w14:paraId="5DFBBDDC">
      <w:pP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7545" cy="8148955"/>
            <wp:effectExtent l="0" t="0" r="14605" b="4445"/>
            <wp:docPr id="5" name="图片 5" descr="DOC091124-0911202409451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91124-09112024094512_00"/>
                    <pic:cNvPicPr>
                      <a:picLocks noChangeAspect="1"/>
                    </pic:cNvPicPr>
                  </pic:nvPicPr>
                  <pic:blipFill>
                    <a:blip r:embed="rId9"/>
                    <a:stretch>
                      <a:fillRect/>
                    </a:stretch>
                  </pic:blipFill>
                  <pic:spPr>
                    <a:xfrm>
                      <a:off x="0" y="0"/>
                      <a:ext cx="5757545" cy="81489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7545" cy="8148955"/>
            <wp:effectExtent l="0" t="0" r="14605" b="4445"/>
            <wp:docPr id="4" name="图片 4" descr="DOC091124-0911202409451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91124-09112024094512_01"/>
                    <pic:cNvPicPr>
                      <a:picLocks noChangeAspect="1"/>
                    </pic:cNvPicPr>
                  </pic:nvPicPr>
                  <pic:blipFill>
                    <a:blip r:embed="rId10"/>
                    <a:stretch>
                      <a:fillRect/>
                    </a:stretch>
                  </pic:blipFill>
                  <pic:spPr>
                    <a:xfrm>
                      <a:off x="0" y="0"/>
                      <a:ext cx="5757545" cy="81489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7545" cy="8148955"/>
            <wp:effectExtent l="0" t="0" r="14605" b="4445"/>
            <wp:docPr id="3" name="图片 3" descr="DOC091124-0911202409451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91124-09112024094512_02"/>
                    <pic:cNvPicPr>
                      <a:picLocks noChangeAspect="1"/>
                    </pic:cNvPicPr>
                  </pic:nvPicPr>
                  <pic:blipFill>
                    <a:blip r:embed="rId11"/>
                    <a:stretch>
                      <a:fillRect/>
                    </a:stretch>
                  </pic:blipFill>
                  <pic:spPr>
                    <a:xfrm>
                      <a:off x="0" y="0"/>
                      <a:ext cx="5757545" cy="81489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7545" cy="8148955"/>
            <wp:effectExtent l="0" t="0" r="14605" b="4445"/>
            <wp:docPr id="2" name="图片 2" descr="DOC091124-0911202409451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91124-09112024094512_03"/>
                    <pic:cNvPicPr>
                      <a:picLocks noChangeAspect="1"/>
                    </pic:cNvPicPr>
                  </pic:nvPicPr>
                  <pic:blipFill>
                    <a:blip r:embed="rId12"/>
                    <a:stretch>
                      <a:fillRect/>
                    </a:stretch>
                  </pic:blipFill>
                  <pic:spPr>
                    <a:xfrm>
                      <a:off x="0" y="0"/>
                      <a:ext cx="5757545" cy="81489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br w:type="page"/>
      </w:r>
    </w:p>
    <w:p w14:paraId="31DCA459">
      <w:pPr>
        <w:jc w:val="center"/>
        <w:rPr>
          <w:rFonts w:hint="eastAsia" w:ascii="仿宋" w:hAnsi="仿宋" w:eastAsia="仿宋" w:cs="Times New Roman"/>
          <w:b/>
          <w:bCs w:val="0"/>
          <w:color w:val="auto"/>
          <w:sz w:val="44"/>
          <w:szCs w:val="44"/>
          <w:highlight w:val="none"/>
          <w:u w:val="none"/>
          <w:lang w:val="en-US" w:eastAsia="zh-CN"/>
        </w:rPr>
      </w:pPr>
      <w:bookmarkStart w:id="0" w:name="OLE_LINK1"/>
      <w:bookmarkStart w:id="1" w:name="OLE_LINK2"/>
      <w:r>
        <w:rPr>
          <w:rFonts w:hint="eastAsia" w:ascii="仿宋" w:hAnsi="仿宋" w:eastAsia="仿宋" w:cs="Times New Roman"/>
          <w:b/>
          <w:bCs w:val="0"/>
          <w:color w:val="auto"/>
          <w:sz w:val="44"/>
          <w:szCs w:val="44"/>
          <w:highlight w:val="none"/>
          <w:u w:val="single"/>
          <w:lang w:val="en-US" w:eastAsia="zh-CN"/>
        </w:rPr>
        <w:t>PC预制构件</w:t>
      </w:r>
      <w:r>
        <w:rPr>
          <w:rFonts w:hint="eastAsia" w:ascii="仿宋" w:hAnsi="仿宋" w:eastAsia="仿宋" w:cs="Times New Roman"/>
          <w:b/>
          <w:bCs w:val="0"/>
          <w:color w:val="auto"/>
          <w:sz w:val="44"/>
          <w:szCs w:val="44"/>
          <w:highlight w:val="none"/>
          <w:u w:val="none"/>
          <w:lang w:val="en-US" w:eastAsia="zh-CN"/>
        </w:rPr>
        <w:t>采购询价公告（重新采购）</w:t>
      </w:r>
    </w:p>
    <w:bookmarkEnd w:id="0"/>
    <w:p w14:paraId="46EE2279">
      <w:pPr>
        <w:pStyle w:val="19"/>
        <w:rPr>
          <w:rFonts w:hint="eastAsia"/>
          <w:lang w:val="en-US" w:eastAsia="zh-CN"/>
        </w:rPr>
      </w:pPr>
    </w:p>
    <w:p w14:paraId="33A5BAE7">
      <w:pPr>
        <w:pStyle w:val="12"/>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58101DD6">
      <w:pPr>
        <w:pStyle w:val="12"/>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u w:val="single"/>
          <w:lang w:val="en-US" w:eastAsia="zh-CN"/>
        </w:rPr>
        <w:t>PC预制构件</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b w:val="0"/>
          <w:bCs/>
          <w:color w:val="auto"/>
          <w:sz w:val="28"/>
          <w:szCs w:val="28"/>
          <w:highlight w:val="none"/>
          <w:u w:val="none"/>
          <w:lang w:val="en-US" w:eastAsia="zh-CN"/>
        </w:rPr>
        <w:t>南浔直播电商产业基地</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69B58841">
      <w:pPr>
        <w:pStyle w:val="12"/>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4EDEE1E9">
      <w:pPr>
        <w:pStyle w:val="12"/>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3826DDB3">
      <w:pPr>
        <w:pStyle w:val="12"/>
        <w:shd w:val="clear" w:color="auto" w:fill="FFFFFF"/>
        <w:spacing w:before="0" w:beforeAutospacing="0" w:after="0" w:afterAutospacing="0" w:line="400" w:lineRule="exact"/>
        <w:ind w:firstLine="562" w:firstLineChars="200"/>
        <w:jc w:val="both"/>
        <w:rPr>
          <w:rFonts w:hint="eastAsia"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 xml:space="preserve">CTCJ-202406001-001 </w:t>
      </w:r>
    </w:p>
    <w:p w14:paraId="37373472">
      <w:pPr>
        <w:pStyle w:val="12"/>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14:paraId="3ED03C43">
      <w:pPr>
        <w:pStyle w:val="12"/>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PC预制构件等，具体</w:t>
      </w:r>
      <w:r>
        <w:rPr>
          <w:rFonts w:hint="eastAsia" w:ascii="仿宋" w:hAnsi="仿宋" w:eastAsia="仿宋" w:cs="Arial"/>
          <w:color w:val="auto"/>
          <w:kern w:val="0"/>
          <w:sz w:val="28"/>
          <w:szCs w:val="28"/>
          <w:highlight w:val="none"/>
          <w:u w:val="single"/>
          <w:lang w:val="en-US" w:eastAsia="zh-CN" w:bidi="ar-SA"/>
        </w:rPr>
        <w:t>请下载附件《材料报价表》进行查看，清单数量为本次采购范围内其中某一个项目的预估数量，具体供货数量以采购人下单为准，以供应商最终的中标单价按实结算。</w:t>
      </w:r>
    </w:p>
    <w:p w14:paraId="32FF9FF1">
      <w:pPr>
        <w:pStyle w:val="12"/>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74894E17">
      <w:pPr>
        <w:pStyle w:val="12"/>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75万元</w:t>
      </w:r>
    </w:p>
    <w:p w14:paraId="70C28870">
      <w:pPr>
        <w:pStyle w:val="12"/>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78629610">
      <w:pPr>
        <w:pStyle w:val="12"/>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w:t>
      </w:r>
    </w:p>
    <w:p w14:paraId="56A2D681">
      <w:pPr>
        <w:pStyle w:val="12"/>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058113F9">
      <w:pPr>
        <w:pStyle w:val="12"/>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39545339">
      <w:pPr>
        <w:pStyle w:val="12"/>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0DD0ABBF">
      <w:pPr>
        <w:pStyle w:val="12"/>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695297C6">
      <w:pPr>
        <w:pStyle w:val="12"/>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26D16E52">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4"/>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5"/>
      </w:tblGrid>
      <w:tr w14:paraId="77B60B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11EF7876">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14:paraId="7768F2A3">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确定供应商后即签订合同，接到采购人供货通知（下单）后</w:t>
            </w:r>
            <w:r>
              <w:rPr>
                <w:rFonts w:hint="eastAsia" w:ascii="仿宋" w:hAnsi="仿宋" w:eastAsia="仿宋" w:cs="仿宋"/>
                <w:color w:val="auto"/>
                <w:sz w:val="28"/>
                <w:szCs w:val="28"/>
                <w:highlight w:val="none"/>
                <w:u w:val="single"/>
                <w:lang w:val="en-US" w:eastAsia="zh-CN"/>
              </w:rPr>
              <w:t>2</w:t>
            </w:r>
            <w:r>
              <w:rPr>
                <w:rFonts w:hint="eastAsia" w:ascii="仿宋" w:hAnsi="仿宋" w:eastAsia="仿宋" w:cs="仿宋"/>
                <w:color w:val="auto"/>
                <w:sz w:val="28"/>
                <w:szCs w:val="28"/>
                <w:highlight w:val="none"/>
                <w:lang w:val="en-US" w:eastAsia="zh-CN"/>
              </w:rPr>
              <w:t>个自然日内完成供货（以采购人下单通知到货时间为准进行计算）。</w:t>
            </w:r>
          </w:p>
        </w:tc>
      </w:tr>
      <w:tr w14:paraId="6AAE9D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7EB73184">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14:paraId="56F9E1C9">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无</w:t>
            </w:r>
          </w:p>
        </w:tc>
      </w:tr>
      <w:tr w14:paraId="297ECC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74473ADC">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14:paraId="76EA6967">
            <w:pPr>
              <w:pStyle w:val="19"/>
              <w:rPr>
                <w:rFonts w:hint="eastAsia"/>
                <w:lang w:val="en-US" w:eastAsia="zh-CN"/>
              </w:rPr>
            </w:pPr>
            <w:r>
              <w:rPr>
                <w:rFonts w:hint="eastAsia" w:ascii="仿宋" w:hAnsi="仿宋" w:eastAsia="仿宋" w:cs="仿宋"/>
                <w:color w:val="auto"/>
                <w:kern w:val="2"/>
                <w:sz w:val="28"/>
                <w:szCs w:val="28"/>
                <w:highlight w:val="none"/>
                <w:lang w:val="en-US" w:eastAsia="zh-CN" w:bidi="ar-SA"/>
              </w:rPr>
              <w:t>下单后支付该批次材料款的30%，每一批次材料到场并经检测合格、签收完成后支付该批次材料款的55%，每批次材料到场签收完成后一个月内付清剩余15%货款，供应商须提供支付金额准确的13%增值税专用发票，否则采购人有权不予支付。</w:t>
            </w:r>
          </w:p>
        </w:tc>
      </w:tr>
      <w:tr w14:paraId="6FE188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7AD37C10">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14:paraId="580E6BFE">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u w:val="single"/>
                <w:lang w:val="en-US" w:eastAsia="zh-CN"/>
              </w:rPr>
              <w:t>根据中标单价按实结算</w:t>
            </w:r>
          </w:p>
        </w:tc>
      </w:tr>
      <w:tr w14:paraId="39948D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1A810E3A">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14:paraId="135CD8BD">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是</w:t>
            </w:r>
          </w:p>
        </w:tc>
      </w:tr>
      <w:tr w14:paraId="7DA0DB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054C862E">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14:paraId="71DDBE16">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南浔区和孚镇，具体位置以采购人通知为准。</w:t>
            </w:r>
          </w:p>
        </w:tc>
      </w:tr>
      <w:tr w14:paraId="505A66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5818BFD1">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14:paraId="2D8DD2E9">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none"/>
                <w:lang w:val="en-US" w:eastAsia="zh-CN"/>
              </w:rPr>
              <w:t>/</w:t>
            </w:r>
          </w:p>
        </w:tc>
      </w:tr>
    </w:tbl>
    <w:p w14:paraId="09BCF133">
      <w:pPr>
        <w:pStyle w:val="12"/>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4FB2E0FA">
      <w:pPr>
        <w:pStyle w:val="12"/>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55A87337">
      <w:pPr>
        <w:pStyle w:val="12"/>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9</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13</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16时3</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14:paraId="79F8343B">
      <w:pPr>
        <w:pStyle w:val="12"/>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陈</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17858361744。</w:t>
      </w:r>
    </w:p>
    <w:p w14:paraId="6A917E2A">
      <w:pPr>
        <w:pStyle w:val="12"/>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37F6BFDD">
      <w:pPr>
        <w:pStyle w:val="12"/>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12321BD0">
      <w:pPr>
        <w:pStyle w:val="12"/>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6FD748CD">
      <w:pPr>
        <w:pStyle w:val="12"/>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1C2004E1">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231A8D50">
      <w:pPr>
        <w:pStyle w:val="12"/>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09034A21">
      <w:pPr>
        <w:pStyle w:val="12"/>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08384F3E">
      <w:pPr>
        <w:pStyle w:val="12"/>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0B6ADFDE">
      <w:pPr>
        <w:pStyle w:val="12"/>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4B1F69D6">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材料样品</w:t>
      </w:r>
    </w:p>
    <w:p w14:paraId="068FD426">
      <w:pPr>
        <w:pStyle w:val="12"/>
        <w:shd w:val="clear" w:color="auto" w:fill="FFFFFF"/>
        <w:spacing w:before="0" w:beforeAutospacing="0" w:after="0" w:afterAutospacing="0" w:line="400" w:lineRule="exact"/>
        <w:ind w:firstLine="560" w:firstLineChars="200"/>
        <w:jc w:val="both"/>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报价人提交报价后，须根据采购人要求同时提供材料样品给采购人，可以采取直送或者邮寄等方式将材料样品递交给采购人，递交地址为：</w:t>
      </w:r>
      <w:r>
        <w:rPr>
          <w:rFonts w:hint="eastAsia" w:ascii="仿宋" w:hAnsi="仿宋" w:eastAsia="仿宋" w:cs="Arial"/>
          <w:b w:val="0"/>
          <w:bCs w:val="0"/>
          <w:color w:val="auto"/>
          <w:sz w:val="28"/>
          <w:szCs w:val="28"/>
          <w:highlight w:val="none"/>
          <w:lang w:val="en-US" w:eastAsia="zh-CN"/>
        </w:rPr>
        <w:t>浙江省湖州市南浔区南浔镇朝阳路88号采购人公司指定会议室。</w:t>
      </w:r>
    </w:p>
    <w:p w14:paraId="27C2CE3F">
      <w:pPr>
        <w:pStyle w:val="12"/>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18F35B58">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0CD970CB">
      <w:pPr>
        <w:pStyle w:val="12"/>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7D18E68E">
      <w:pPr>
        <w:pStyle w:val="12"/>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0AB596F2">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64518E26">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29AC707C">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60C78BA0">
      <w:pPr>
        <w:pStyle w:val="12"/>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55121D9A">
      <w:pPr>
        <w:pStyle w:val="12"/>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47DB188C">
      <w:pPr>
        <w:pStyle w:val="12"/>
        <w:shd w:val="clear" w:color="auto" w:fill="FFFFFF"/>
        <w:spacing w:before="0" w:beforeAutospacing="0" w:after="0" w:afterAutospacing="0" w:line="400" w:lineRule="exact"/>
        <w:ind w:firstLine="560" w:firstLineChars="200"/>
        <w:jc w:val="both"/>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拟成交结果在采购人公司官方网站（https://www.hznxctszlh.com/）进行公示，公示期3天，</w:t>
      </w:r>
      <w:r>
        <w:rPr>
          <w:rFonts w:hint="eastAsia" w:ascii="仿宋" w:hAnsi="仿宋" w:eastAsia="仿宋" w:cs="Arial"/>
          <w:b/>
          <w:bCs/>
          <w:color w:val="auto"/>
          <w:sz w:val="28"/>
          <w:szCs w:val="28"/>
          <w:highlight w:val="none"/>
          <w:lang w:val="en-US" w:eastAsia="zh-CN"/>
        </w:rPr>
        <w:t>供应商如有更低报价的可在公示期内联系采购人。</w:t>
      </w:r>
    </w:p>
    <w:p w14:paraId="30C76321">
      <w:pPr>
        <w:pStyle w:val="12"/>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37366BCF">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应当确定排名第1名的报价人为合作供应商</w:t>
      </w:r>
      <w:r>
        <w:rPr>
          <w:rFonts w:hint="eastAsia" w:ascii="仿宋" w:hAnsi="仿宋" w:eastAsia="仿宋" w:cs="Arial"/>
          <w:b w:val="0"/>
          <w:bCs w:val="0"/>
          <w:color w:val="auto"/>
          <w:sz w:val="28"/>
          <w:szCs w:val="28"/>
          <w:highlight w:val="none"/>
          <w:lang w:val="en-US" w:eastAsia="zh-CN"/>
        </w:rPr>
        <w:t>。</w:t>
      </w:r>
    </w:p>
    <w:p w14:paraId="39316519">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0639B502">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视为中标供应商违约，采购人可以单方面解除合作（撤销《成交通知书》）并选择其他供应商，由此对采购人造成损失的由中标供应商承担全部责任和赔偿。</w:t>
      </w:r>
    </w:p>
    <w:p w14:paraId="258A90E6">
      <w:pPr>
        <w:pStyle w:val="12"/>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14:paraId="1BA88887">
      <w:pPr>
        <w:pStyle w:val="12"/>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rPr>
        <w:t>1、本次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14:paraId="123EDC17">
      <w:pPr>
        <w:pStyle w:val="12"/>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val="en-US" w:eastAsia="zh-CN"/>
        </w:rPr>
        <w:t>2</w:t>
      </w:r>
      <w:r>
        <w:rPr>
          <w:rFonts w:hint="eastAsia" w:ascii="仿宋" w:hAnsi="仿宋" w:eastAsia="仿宋" w:cs="Arial"/>
          <w:color w:val="auto"/>
          <w:sz w:val="28"/>
          <w:szCs w:val="28"/>
          <w:highlight w:val="none"/>
          <w:lang w:eastAsia="zh-CN"/>
        </w:rPr>
        <w:t>、采购人确定供应商后，供应商提供材料不达标，或无法履约采购文件材料供应商职责的，采购人有权单方面解除合同。</w:t>
      </w:r>
    </w:p>
    <w:p w14:paraId="55B9B025">
      <w:pPr>
        <w:pStyle w:val="12"/>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382B8614">
      <w:pPr>
        <w:pStyle w:val="2"/>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4、供应商应知悉运输及送货时效性要求，具体数量和款式以采购人下单为准；</w:t>
      </w:r>
    </w:p>
    <w:p w14:paraId="583C0EC5">
      <w:pPr>
        <w:pStyle w:val="12"/>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 xml:space="preserve">                                                                                 </w:t>
      </w:r>
    </w:p>
    <w:p w14:paraId="25D416D7">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14:paraId="5BB4826A">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bookmarkStart w:id="47" w:name="_GoBack"/>
      <w:bookmarkEnd w:id="47"/>
    </w:p>
    <w:p w14:paraId="64E8B1F0">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14:paraId="3A659505">
      <w:pPr>
        <w:pStyle w:val="19"/>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14:paraId="4210DE5A">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9月10日 </w:t>
      </w:r>
    </w:p>
    <w:bookmarkEnd w:id="1"/>
    <w:p w14:paraId="72B699F2">
      <w:pPr>
        <w:pStyle w:val="12"/>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04C328C2">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3B5B6636">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14:paraId="0F71EE32">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10AEE7D5">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14:paraId="618A4046">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2"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2"/>
    </w:p>
    <w:p w14:paraId="00915EB9">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3" w:name="_Toc176861885"/>
      <w:bookmarkStart w:id="4" w:name="_Toc173572818"/>
      <w:r>
        <w:rPr>
          <w:rFonts w:hint="eastAsia" w:ascii="仿宋" w:hAnsi="仿宋" w:eastAsia="仿宋" w:cs="仿宋"/>
          <w:bCs/>
          <w:color w:val="auto"/>
          <w:spacing w:val="-2"/>
          <w:sz w:val="28"/>
          <w:szCs w:val="28"/>
          <w:highlight w:val="none"/>
        </w:rPr>
        <w:t>1、</w:t>
      </w:r>
      <w:bookmarkEnd w:id="3"/>
      <w:bookmarkEnd w:id="4"/>
      <w:bookmarkStart w:id="5" w:name="_Toc176861887"/>
      <w:bookmarkStart w:id="6" w:name="_Toc173572820"/>
      <w:r>
        <w:rPr>
          <w:rFonts w:hint="eastAsia" w:ascii="仿宋" w:hAnsi="仿宋" w:eastAsia="仿宋" w:cs="仿宋"/>
          <w:bCs/>
          <w:color w:val="auto"/>
          <w:sz w:val="28"/>
          <w:szCs w:val="28"/>
          <w:highlight w:val="none"/>
        </w:rPr>
        <w:t>必须实质性响应询价采购文件规定的条款。</w:t>
      </w:r>
      <w:bookmarkEnd w:id="5"/>
      <w:bookmarkEnd w:id="6"/>
    </w:p>
    <w:p w14:paraId="5FA16918">
      <w:pPr>
        <w:pStyle w:val="11"/>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7" w:name="_Toc173572821"/>
      <w:bookmarkStart w:id="8"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7"/>
      <w:bookmarkEnd w:id="8"/>
    </w:p>
    <w:p w14:paraId="036AC077">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9" w:name="_Toc173572822"/>
      <w:bookmarkStart w:id="10" w:name="_Toc176861889"/>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9"/>
      <w:bookmarkEnd w:id="10"/>
      <w:bookmarkStart w:id="11" w:name="_Toc176861890"/>
      <w:bookmarkStart w:id="12" w:name="_Toc173572823"/>
    </w:p>
    <w:p w14:paraId="083B1B33">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11"/>
      <w:bookmarkEnd w:id="12"/>
    </w:p>
    <w:p w14:paraId="0DE7E87C">
      <w:pPr>
        <w:pStyle w:val="11"/>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3" w:name="_Toc176861891"/>
      <w:bookmarkStart w:id="14" w:name="_Toc173572824"/>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3"/>
      <w:bookmarkEnd w:id="14"/>
      <w:bookmarkStart w:id="15" w:name="_Toc176861892"/>
      <w:bookmarkStart w:id="16" w:name="_Toc173572825"/>
      <w:r>
        <w:rPr>
          <w:rFonts w:hint="eastAsia" w:ascii="仿宋" w:hAnsi="仿宋" w:eastAsia="仿宋" w:cs="仿宋"/>
          <w:b w:val="0"/>
          <w:bCs/>
          <w:color w:val="auto"/>
          <w:sz w:val="28"/>
          <w:szCs w:val="28"/>
          <w:highlight w:val="none"/>
          <w:lang w:eastAsia="zh-CN"/>
        </w:rPr>
        <w:t>。</w:t>
      </w:r>
    </w:p>
    <w:p w14:paraId="0C917CF2">
      <w:pPr>
        <w:pStyle w:val="11"/>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5"/>
    <w:bookmarkEnd w:id="16"/>
    <w:p w14:paraId="5A928FF7">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7" w:name="_Toc360527288"/>
      <w:bookmarkStart w:id="18" w:name="_Toc53233051"/>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7"/>
      <w:bookmarkEnd w:id="18"/>
    </w:p>
    <w:p w14:paraId="32922145">
      <w:pPr>
        <w:pStyle w:val="11"/>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9" w:name="_Toc176861895"/>
      <w:bookmarkStart w:id="20"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9"/>
      <w:bookmarkEnd w:id="20"/>
    </w:p>
    <w:p w14:paraId="38828FE6">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1" w:name="_Toc176861896"/>
      <w:bookmarkStart w:id="22" w:name="_Toc173572829"/>
      <w:r>
        <w:rPr>
          <w:rFonts w:hint="eastAsia" w:ascii="仿宋" w:hAnsi="仿宋" w:eastAsia="仿宋" w:cs="仿宋"/>
          <w:b w:val="0"/>
          <w:color w:val="auto"/>
          <w:sz w:val="28"/>
          <w:szCs w:val="28"/>
          <w:highlight w:val="none"/>
        </w:rPr>
        <w:t>2、</w:t>
      </w:r>
      <w:bookmarkEnd w:id="21"/>
      <w:bookmarkEnd w:id="22"/>
      <w:bookmarkStart w:id="23" w:name="_Toc176861897"/>
      <w:bookmarkStart w:id="24" w:name="_Toc173572830"/>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3"/>
      <w:bookmarkEnd w:id="24"/>
    </w:p>
    <w:p w14:paraId="4747D778">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3572831"/>
      <w:bookmarkStart w:id="26" w:name="_Toc176861898"/>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5"/>
      <w:bookmarkEnd w:id="26"/>
    </w:p>
    <w:p w14:paraId="5A6D5EA4">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3572832"/>
      <w:bookmarkStart w:id="28" w:name="_Toc176861899"/>
      <w:r>
        <w:rPr>
          <w:rFonts w:hint="eastAsia" w:ascii="仿宋" w:hAnsi="仿宋" w:eastAsia="仿宋" w:cs="仿宋"/>
          <w:b w:val="0"/>
          <w:color w:val="auto"/>
          <w:sz w:val="28"/>
          <w:szCs w:val="28"/>
          <w:highlight w:val="none"/>
        </w:rPr>
        <w:t>如发现下列情况之一的，其报价将被拒绝：</w:t>
      </w:r>
      <w:bookmarkEnd w:id="27"/>
      <w:bookmarkEnd w:id="28"/>
    </w:p>
    <w:p w14:paraId="7AA3FE55">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6861900"/>
      <w:bookmarkStart w:id="30" w:name="_Toc173572833"/>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9"/>
      <w:bookmarkEnd w:id="30"/>
    </w:p>
    <w:p w14:paraId="5FA750E3">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3572834"/>
      <w:bookmarkStart w:id="32" w:name="_Toc176861901"/>
      <w:r>
        <w:rPr>
          <w:rFonts w:hint="eastAsia" w:ascii="仿宋" w:hAnsi="仿宋" w:eastAsia="仿宋" w:cs="仿宋"/>
          <w:b w:val="0"/>
          <w:color w:val="auto"/>
          <w:sz w:val="28"/>
          <w:szCs w:val="28"/>
          <w:highlight w:val="none"/>
        </w:rPr>
        <w:t>4.2  超出经营范围报价或不符合供应商资格条件的；</w:t>
      </w:r>
      <w:bookmarkEnd w:id="31"/>
      <w:bookmarkEnd w:id="32"/>
    </w:p>
    <w:p w14:paraId="73E353DD">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3" w:name="_Toc173572835"/>
      <w:bookmarkStart w:id="34" w:name="_Toc176861902"/>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3"/>
      <w:bookmarkEnd w:id="34"/>
    </w:p>
    <w:p w14:paraId="676947B0">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6861903"/>
      <w:bookmarkStart w:id="36" w:name="_Toc173572836"/>
      <w:r>
        <w:rPr>
          <w:rFonts w:hint="eastAsia" w:ascii="仿宋" w:hAnsi="仿宋" w:eastAsia="仿宋" w:cs="仿宋"/>
          <w:b w:val="0"/>
          <w:bCs/>
          <w:color w:val="auto"/>
          <w:sz w:val="28"/>
          <w:szCs w:val="28"/>
          <w:highlight w:val="none"/>
        </w:rPr>
        <w:t>4.4  缺项漏项不能满足询价采购文件要求的；</w:t>
      </w:r>
      <w:bookmarkEnd w:id="35"/>
      <w:bookmarkEnd w:id="36"/>
    </w:p>
    <w:p w14:paraId="6BBA525E">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3572837"/>
      <w:bookmarkStart w:id="38" w:name="_Toc176861904"/>
      <w:r>
        <w:rPr>
          <w:rFonts w:hint="eastAsia" w:ascii="仿宋" w:hAnsi="仿宋" w:eastAsia="仿宋" w:cs="仿宋"/>
          <w:b w:val="0"/>
          <w:bCs/>
          <w:color w:val="auto"/>
          <w:sz w:val="28"/>
          <w:szCs w:val="28"/>
          <w:highlight w:val="none"/>
        </w:rPr>
        <w:t>4.5  其报价有两个或两个以上的解释的；</w:t>
      </w:r>
      <w:bookmarkEnd w:id="37"/>
      <w:bookmarkEnd w:id="38"/>
    </w:p>
    <w:p w14:paraId="22EF93A1">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6861905"/>
      <w:bookmarkStart w:id="40" w:name="_Toc173572838"/>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9"/>
      <w:bookmarkEnd w:id="40"/>
    </w:p>
    <w:p w14:paraId="4737F0F9">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41" w:name="_Toc176861906"/>
      <w:bookmarkStart w:id="42"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41"/>
      <w:bookmarkEnd w:id="42"/>
    </w:p>
    <w:p w14:paraId="6C2F139C">
      <w:pPr>
        <w:pStyle w:val="11"/>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79873F86">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28AC56B8">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14:paraId="67DE45FB">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税金（要求中标人提供13%增值税专用发票）等等，以及为完成供货所产生的其他费用等一切费用，一旦中标后中标价格不作调整。</w:t>
      </w:r>
    </w:p>
    <w:p w14:paraId="794348CC">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14:paraId="05E86EC9">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053DE9E1">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14:paraId="239885EB">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0DBE078D">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54A3FFB3">
      <w:pPr>
        <w:pStyle w:val="2"/>
        <w:jc w:val="center"/>
        <w:rPr>
          <w:rFonts w:hint="eastAsia" w:ascii="仿宋" w:hAnsi="仿宋" w:eastAsia="仿宋" w:cs="仿宋"/>
          <w:color w:val="auto"/>
          <w:kern w:val="0"/>
          <w:sz w:val="44"/>
          <w:szCs w:val="20"/>
          <w:highlight w:val="none"/>
        </w:rPr>
      </w:pPr>
      <w:bookmarkStart w:id="43" w:name="_Toc53233054"/>
      <w:bookmarkStart w:id="44" w:name="_Toc173558759"/>
      <w:bookmarkStart w:id="45" w:name="_Toc53233055"/>
      <w:bookmarkStart w:id="46" w:name="_Toc360527291"/>
    </w:p>
    <w:p w14:paraId="14797965">
      <w:pPr>
        <w:pStyle w:val="2"/>
        <w:jc w:val="both"/>
        <w:rPr>
          <w:rFonts w:hint="eastAsia"/>
          <w:color w:val="auto"/>
          <w:highlight w:val="none"/>
          <w:lang w:eastAsia="zh-CN"/>
        </w:rPr>
      </w:pPr>
    </w:p>
    <w:p w14:paraId="6A39AAF0">
      <w:pPr>
        <w:rPr>
          <w:rFonts w:hint="eastAsia"/>
          <w:color w:val="auto"/>
          <w:highlight w:val="none"/>
          <w:lang w:eastAsia="zh-CN"/>
        </w:rPr>
      </w:pPr>
    </w:p>
    <w:p w14:paraId="1DE9B9B1">
      <w:pPr>
        <w:rPr>
          <w:rFonts w:hint="eastAsia"/>
          <w:color w:val="auto"/>
          <w:highlight w:val="none"/>
          <w:lang w:eastAsia="zh-CN"/>
        </w:rPr>
      </w:pPr>
    </w:p>
    <w:p w14:paraId="440FE620">
      <w:pPr>
        <w:pStyle w:val="2"/>
        <w:jc w:val="center"/>
        <w:rPr>
          <w:rFonts w:hint="eastAsia" w:ascii="仿宋" w:hAnsi="仿宋" w:eastAsia="仿宋" w:cs="仿宋"/>
          <w:color w:val="auto"/>
          <w:kern w:val="0"/>
          <w:sz w:val="44"/>
          <w:szCs w:val="20"/>
          <w:highlight w:val="none"/>
        </w:rPr>
      </w:pPr>
    </w:p>
    <w:p w14:paraId="0410F43B">
      <w:pPr>
        <w:rPr>
          <w:rFonts w:hint="eastAsia" w:ascii="仿宋" w:hAnsi="仿宋" w:eastAsia="仿宋" w:cs="仿宋"/>
          <w:color w:val="auto"/>
          <w:kern w:val="0"/>
          <w:sz w:val="44"/>
          <w:szCs w:val="20"/>
          <w:highlight w:val="none"/>
        </w:rPr>
      </w:pPr>
    </w:p>
    <w:p w14:paraId="1645AC7A">
      <w:pPr>
        <w:pStyle w:val="19"/>
        <w:rPr>
          <w:rFonts w:hint="eastAsia"/>
          <w:color w:val="auto"/>
          <w:highlight w:val="none"/>
        </w:rPr>
      </w:pPr>
    </w:p>
    <w:p w14:paraId="10B1097E">
      <w:pPr>
        <w:pStyle w:val="2"/>
        <w:jc w:val="center"/>
        <w:rPr>
          <w:rFonts w:hint="eastAsia" w:ascii="仿宋" w:hAnsi="仿宋" w:eastAsia="仿宋" w:cs="仿宋"/>
          <w:color w:val="auto"/>
          <w:kern w:val="0"/>
          <w:sz w:val="44"/>
          <w:szCs w:val="20"/>
          <w:highlight w:val="none"/>
        </w:rPr>
      </w:pPr>
    </w:p>
    <w:p w14:paraId="3578D764">
      <w:pPr>
        <w:pStyle w:val="2"/>
        <w:jc w:val="center"/>
        <w:rPr>
          <w:rFonts w:hint="eastAsia" w:ascii="仿宋" w:hAnsi="仿宋" w:eastAsia="仿宋" w:cs="仿宋"/>
          <w:color w:val="auto"/>
          <w:kern w:val="0"/>
          <w:sz w:val="44"/>
          <w:szCs w:val="20"/>
          <w:highlight w:val="none"/>
        </w:rPr>
      </w:pPr>
    </w:p>
    <w:p w14:paraId="18AC3AC4">
      <w:pPr>
        <w:pStyle w:val="2"/>
        <w:jc w:val="both"/>
        <w:rPr>
          <w:rFonts w:hint="eastAsia" w:ascii="仿宋" w:hAnsi="仿宋" w:eastAsia="仿宋" w:cs="仿宋"/>
          <w:color w:val="auto"/>
          <w:kern w:val="0"/>
          <w:sz w:val="44"/>
          <w:szCs w:val="20"/>
          <w:highlight w:val="none"/>
          <w:lang w:val="en-US" w:eastAsia="zh-CN"/>
        </w:rPr>
      </w:pPr>
      <w:r>
        <w:rPr>
          <w:rFonts w:hint="eastAsia" w:ascii="仿宋" w:hAnsi="仿宋" w:eastAsia="仿宋" w:cs="仿宋"/>
          <w:color w:val="auto"/>
          <w:kern w:val="0"/>
          <w:sz w:val="44"/>
          <w:szCs w:val="20"/>
          <w:highlight w:val="none"/>
          <w:lang w:val="en-US" w:eastAsia="zh-CN"/>
        </w:rPr>
        <w:t xml:space="preserve"> </w:t>
      </w:r>
    </w:p>
    <w:p w14:paraId="71C6977E">
      <w:pPr>
        <w:pStyle w:val="2"/>
        <w:jc w:val="both"/>
        <w:rPr>
          <w:rFonts w:hint="eastAsia" w:ascii="仿宋" w:hAnsi="仿宋" w:eastAsia="仿宋" w:cs="仿宋"/>
          <w:color w:val="auto"/>
          <w:kern w:val="0"/>
          <w:sz w:val="44"/>
          <w:szCs w:val="20"/>
          <w:highlight w:val="none"/>
        </w:rPr>
      </w:pPr>
    </w:p>
    <w:bookmarkEnd w:id="43"/>
    <w:p w14:paraId="40B4F85A">
      <w:pPr>
        <w:rPr>
          <w:rFonts w:hint="eastAsia" w:ascii="仿宋" w:hAnsi="仿宋" w:eastAsia="仿宋" w:cs="仿宋"/>
          <w:b/>
          <w:bCs/>
          <w:color w:val="auto"/>
          <w:sz w:val="30"/>
          <w:highlight w:val="none"/>
        </w:rPr>
      </w:pPr>
      <w:r>
        <w:rPr>
          <w:rFonts w:hint="eastAsia" w:ascii="仿宋" w:hAnsi="仿宋" w:eastAsia="仿宋" w:cs="仿宋"/>
          <w:b/>
          <w:bCs/>
          <w:color w:val="auto"/>
          <w:sz w:val="30"/>
          <w:highlight w:val="none"/>
        </w:rPr>
        <w:br w:type="page"/>
      </w:r>
    </w:p>
    <w:p w14:paraId="07159BDB">
      <w:pPr>
        <w:pStyle w:val="19"/>
        <w:rPr>
          <w:rFonts w:hint="eastAsia"/>
        </w:rPr>
      </w:pPr>
    </w:p>
    <w:p w14:paraId="05E76542">
      <w:pPr>
        <w:pStyle w:val="12"/>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14:paraId="4F3C989A">
      <w:pPr>
        <w:numPr>
          <w:ilvl w:val="0"/>
          <w:numId w:val="0"/>
        </w:numPr>
        <w:rPr>
          <w:rFonts w:hint="eastAsia"/>
          <w:color w:val="auto"/>
          <w:highlight w:val="none"/>
        </w:rPr>
      </w:pPr>
    </w:p>
    <w:p w14:paraId="35BE28DC">
      <w:pPr>
        <w:pStyle w:val="2"/>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14:paraId="3A122C13">
      <w:pPr>
        <w:rPr>
          <w:rFonts w:hint="eastAsia" w:ascii="仿宋" w:hAnsi="仿宋" w:eastAsia="仿宋" w:cs="仿宋"/>
          <w:color w:val="auto"/>
          <w:highlight w:val="none"/>
        </w:rPr>
      </w:pPr>
    </w:p>
    <w:p w14:paraId="2FFF4F90">
      <w:pPr>
        <w:pStyle w:val="7"/>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14:paraId="11EE7792">
      <w:pPr>
        <w:pStyle w:val="7"/>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14:paraId="52495EDB">
      <w:pPr>
        <w:pStyle w:val="7"/>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14:paraId="2ED031E4">
      <w:pPr>
        <w:pStyle w:val="7"/>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w:t>
      </w:r>
      <w:r>
        <w:rPr>
          <w:rFonts w:hint="eastAsia" w:ascii="仿宋" w:hAnsi="仿宋" w:eastAsia="仿宋" w:cs="仿宋"/>
          <w:color w:val="auto"/>
          <w:sz w:val="22"/>
          <w:szCs w:val="22"/>
          <w:highlight w:val="none"/>
          <w:lang w:val="en-US" w:eastAsia="zh-CN"/>
        </w:rPr>
        <w:t>按实际发生供货数量结算，材料总价暂定为    元，</w:t>
      </w:r>
      <w:r>
        <w:rPr>
          <w:rFonts w:hint="eastAsia" w:ascii="仿宋" w:hAnsi="仿宋" w:eastAsia="仿宋" w:cs="仿宋"/>
          <w:color w:val="auto"/>
          <w:sz w:val="22"/>
          <w:szCs w:val="22"/>
          <w:highlight w:val="none"/>
        </w:rPr>
        <w:t>双方就建设材料购买事项协商一致，同意按以下条款签订本合同。</w:t>
      </w:r>
    </w:p>
    <w:p w14:paraId="1C98031A">
      <w:pPr>
        <w:pStyle w:val="7"/>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02"/>
        <w:gridCol w:w="1217"/>
        <w:gridCol w:w="1217"/>
        <w:gridCol w:w="1217"/>
        <w:gridCol w:w="1218"/>
        <w:gridCol w:w="1218"/>
      </w:tblGrid>
      <w:tr w14:paraId="1CA1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14:paraId="5FF358AA">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序号</w:t>
            </w:r>
          </w:p>
        </w:tc>
        <w:tc>
          <w:tcPr>
            <w:tcW w:w="1947" w:type="dxa"/>
            <w:vAlign w:val="center"/>
          </w:tcPr>
          <w:p w14:paraId="3F28B273">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品种</w:t>
            </w:r>
          </w:p>
        </w:tc>
        <w:tc>
          <w:tcPr>
            <w:tcW w:w="1367" w:type="dxa"/>
            <w:vAlign w:val="center"/>
          </w:tcPr>
          <w:p w14:paraId="4130FB64">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规格</w:t>
            </w:r>
          </w:p>
        </w:tc>
        <w:tc>
          <w:tcPr>
            <w:tcW w:w="1367" w:type="dxa"/>
            <w:vAlign w:val="center"/>
          </w:tcPr>
          <w:p w14:paraId="445AC5B8">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lang w:val="en-US" w:eastAsia="zh-CN"/>
              </w:rPr>
              <w:t>单位</w:t>
            </w:r>
          </w:p>
        </w:tc>
        <w:tc>
          <w:tcPr>
            <w:tcW w:w="1367" w:type="dxa"/>
            <w:vAlign w:val="center"/>
          </w:tcPr>
          <w:p w14:paraId="06E39997">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数量</w:t>
            </w:r>
          </w:p>
        </w:tc>
        <w:tc>
          <w:tcPr>
            <w:tcW w:w="1367" w:type="dxa"/>
            <w:vAlign w:val="center"/>
          </w:tcPr>
          <w:p w14:paraId="23D28F99">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单价</w:t>
            </w:r>
          </w:p>
        </w:tc>
        <w:tc>
          <w:tcPr>
            <w:tcW w:w="1367" w:type="dxa"/>
            <w:vAlign w:val="center"/>
          </w:tcPr>
          <w:p w14:paraId="3D567D16">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合计</w:t>
            </w:r>
            <w:r>
              <w:rPr>
                <w:rFonts w:hint="eastAsia" w:ascii="仿宋" w:hAnsi="仿宋" w:eastAsia="仿宋" w:cs="仿宋"/>
                <w:b/>
                <w:color w:val="auto"/>
                <w:kern w:val="0"/>
                <w:sz w:val="24"/>
                <w:szCs w:val="24"/>
                <w:highlight w:val="none"/>
                <w:lang w:val="en-US" w:eastAsia="zh-CN"/>
              </w:rPr>
              <w:t>/元</w:t>
            </w:r>
          </w:p>
        </w:tc>
      </w:tr>
      <w:tr w14:paraId="56AD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308B0236">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65DB4A26">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07979E25">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15607221">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448A1D44">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D5C88F3">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50BE8D6C">
            <w:pPr>
              <w:pStyle w:val="7"/>
              <w:spacing w:line="440" w:lineRule="exact"/>
              <w:rPr>
                <w:rFonts w:hint="eastAsia" w:ascii="仿宋" w:hAnsi="仿宋" w:eastAsia="仿宋" w:cs="仿宋"/>
                <w:b w:val="0"/>
                <w:bCs w:val="0"/>
                <w:color w:val="auto"/>
                <w:sz w:val="22"/>
                <w:szCs w:val="22"/>
                <w:highlight w:val="none"/>
                <w:vertAlign w:val="baseline"/>
              </w:rPr>
            </w:pPr>
          </w:p>
        </w:tc>
      </w:tr>
      <w:tr w14:paraId="7CE2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281333D5">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2C116628">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99155A1">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31A1CDC9">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5796E7D">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12EDDF1A">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05EBB240">
            <w:pPr>
              <w:pStyle w:val="7"/>
              <w:spacing w:line="440" w:lineRule="exact"/>
              <w:rPr>
                <w:rFonts w:hint="eastAsia" w:ascii="仿宋" w:hAnsi="仿宋" w:eastAsia="仿宋" w:cs="仿宋"/>
                <w:b w:val="0"/>
                <w:bCs w:val="0"/>
                <w:color w:val="auto"/>
                <w:sz w:val="22"/>
                <w:szCs w:val="22"/>
                <w:highlight w:val="none"/>
                <w:vertAlign w:val="baseline"/>
              </w:rPr>
            </w:pPr>
          </w:p>
        </w:tc>
      </w:tr>
      <w:tr w14:paraId="5398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01248F78">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01F48686">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CCCF397">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BED045E">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710E137">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0B129844">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254BC6DF">
            <w:pPr>
              <w:pStyle w:val="7"/>
              <w:spacing w:line="440" w:lineRule="exact"/>
              <w:rPr>
                <w:rFonts w:hint="eastAsia" w:ascii="仿宋" w:hAnsi="仿宋" w:eastAsia="仿宋" w:cs="仿宋"/>
                <w:b w:val="0"/>
                <w:bCs w:val="0"/>
                <w:color w:val="auto"/>
                <w:sz w:val="22"/>
                <w:szCs w:val="22"/>
                <w:highlight w:val="none"/>
                <w:vertAlign w:val="baseline"/>
              </w:rPr>
            </w:pPr>
          </w:p>
        </w:tc>
      </w:tr>
    </w:tbl>
    <w:p w14:paraId="632D9E9E">
      <w:pPr>
        <w:pStyle w:val="7"/>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本合同产品单价（含税）按照前款表单单价为准，固定不变。且在合同期限内合同单价不因原材料价格变动等任何因素而变动。</w:t>
      </w:r>
    </w:p>
    <w:p w14:paraId="7C4E94D6">
      <w:pPr>
        <w:pStyle w:val="7"/>
        <w:spacing w:line="440" w:lineRule="exact"/>
        <w:ind w:firstLine="880"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单价包括材料价款、人工费、包装费、运输费、装卸费、损耗费、检测费、验收费（含第三方验收）、技术服务（包括技术资料的提供）、培训、售后服务、服务期保障、保险费、利润、税金、以及完成本次采购项目所需的所有费用在内的交货价</w:t>
      </w:r>
      <w:r>
        <w:rPr>
          <w:rFonts w:hint="eastAsia" w:ascii="仿宋" w:hAnsi="仿宋" w:eastAsia="仿宋" w:cs="仿宋"/>
          <w:b w:val="0"/>
          <w:bCs w:val="0"/>
          <w:color w:val="auto"/>
          <w:sz w:val="22"/>
          <w:szCs w:val="22"/>
          <w:highlight w:val="none"/>
          <w:lang w:eastAsia="zh-CN"/>
        </w:rPr>
        <w:t>。</w:t>
      </w:r>
    </w:p>
    <w:p w14:paraId="24510DBC">
      <w:pPr>
        <w:pStyle w:val="7"/>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二、供货时间、地点、方式</w:t>
      </w:r>
    </w:p>
    <w:p w14:paraId="29FD2E23">
      <w:pPr>
        <w:pStyle w:val="7"/>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lang w:val="en-US" w:eastAsia="zh-CN"/>
        </w:rPr>
        <w:t>乙方根据甲方的采购需求进行供货，常规货品在甲方书面下单后15个自然日内送达。（以采购人下单通知到货时间为准进行计算）。</w:t>
      </w:r>
    </w:p>
    <w:p w14:paraId="0AFE11E7">
      <w:pPr>
        <w:pStyle w:val="7"/>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2、材料交货地点和方式：乙方负责将材料运送到甲方指定地点交货，并提供产品生产合格证，运输费用由乙方承担。</w:t>
      </w:r>
    </w:p>
    <w:p w14:paraId="5D34ADA8">
      <w:pPr>
        <w:pStyle w:val="7"/>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、知识产权</w:t>
      </w:r>
    </w:p>
    <w:p w14:paraId="0BF9E4AE">
      <w:pPr>
        <w:pStyle w:val="7"/>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14:paraId="06CD4CBB">
      <w:pPr>
        <w:pStyle w:val="7"/>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、产权担保</w:t>
      </w:r>
    </w:p>
    <w:p w14:paraId="30392508">
      <w:pPr>
        <w:pStyle w:val="7"/>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4AB60946">
      <w:pPr>
        <w:pStyle w:val="7"/>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、履约保证金</w:t>
      </w:r>
    </w:p>
    <w:p w14:paraId="6D456645">
      <w:pPr>
        <w:pStyle w:val="7"/>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乙方在</w:t>
      </w:r>
      <w:r>
        <w:rPr>
          <w:rFonts w:hint="eastAsia" w:ascii="仿宋" w:hAnsi="仿宋" w:eastAsia="仿宋" w:cs="仿宋"/>
          <w:b w:val="0"/>
          <w:bCs w:val="0"/>
          <w:color w:val="auto"/>
          <w:sz w:val="22"/>
          <w:szCs w:val="22"/>
          <w:highlight w:val="none"/>
          <w:lang w:eastAsia="zh-Hans"/>
        </w:rPr>
        <w:t>与甲方</w:t>
      </w:r>
      <w:r>
        <w:rPr>
          <w:rFonts w:hint="eastAsia" w:ascii="仿宋" w:hAnsi="仿宋" w:eastAsia="仿宋" w:cs="仿宋"/>
          <w:b w:val="0"/>
          <w:bCs w:val="0"/>
          <w:color w:val="auto"/>
          <w:sz w:val="22"/>
          <w:szCs w:val="22"/>
          <w:highlight w:val="none"/>
        </w:rPr>
        <w:t>签订合同前，应向甲方缴纳履约保证金，履约保证金的金额为（大写：</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，小写：</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rPr>
        <w:t>元）。履约保证金</w:t>
      </w:r>
      <w:r>
        <w:rPr>
          <w:rFonts w:hint="eastAsia" w:ascii="仿宋" w:hAnsi="仿宋" w:eastAsia="仿宋" w:cs="仿宋"/>
          <w:b w:val="0"/>
          <w:bCs w:val="0"/>
          <w:color w:val="auto"/>
          <w:sz w:val="22"/>
          <w:szCs w:val="22"/>
          <w:highlight w:val="none"/>
          <w:lang w:val="en-US" w:eastAsia="zh-CN"/>
        </w:rPr>
        <w:t>本项目竣工验收通过并</w:t>
      </w:r>
      <w:r>
        <w:rPr>
          <w:rFonts w:hint="eastAsia" w:ascii="仿宋" w:hAnsi="仿宋" w:eastAsia="仿宋" w:cs="仿宋"/>
          <w:b w:val="0"/>
          <w:bCs w:val="0"/>
          <w:color w:val="auto"/>
          <w:sz w:val="22"/>
          <w:szCs w:val="22"/>
          <w:highlight w:val="none"/>
          <w:lang w:eastAsia="zh-Hans"/>
        </w:rPr>
        <w:t>扣除相应违约金等费用后（如有）</w:t>
      </w:r>
      <w:r>
        <w:rPr>
          <w:rFonts w:hint="eastAsia" w:ascii="仿宋" w:hAnsi="仿宋" w:eastAsia="仿宋" w:cs="仿宋"/>
          <w:b w:val="0"/>
          <w:bCs w:val="0"/>
          <w:color w:val="auto"/>
          <w:sz w:val="22"/>
          <w:szCs w:val="22"/>
          <w:highlight w:val="none"/>
        </w:rPr>
        <w:t>按合同约定退还(无息)。</w:t>
      </w:r>
    </w:p>
    <w:p w14:paraId="54BB0637">
      <w:pPr>
        <w:pStyle w:val="7"/>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、转包或分包</w:t>
      </w:r>
    </w:p>
    <w:p w14:paraId="7A7100B5">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14:paraId="0EE48EF6">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14:paraId="522148D6">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3、如有转让和未经甲方书面同意的分包行为，甲方有权解除合同，没收履约保证金并追究乙方的违约责任，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14:paraId="73964736">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14:paraId="32FE8AEE">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1、乙方的报价是履行合同的最终价格，包含包括材料（含运输费、装卸费、运输保险费）、</w:t>
      </w:r>
      <w:r>
        <w:rPr>
          <w:rFonts w:hint="eastAsia" w:ascii="仿宋" w:hAnsi="仿宋" w:eastAsia="仿宋" w:cs="仿宋"/>
          <w:b w:val="0"/>
          <w:bCs w:val="0"/>
          <w:color w:val="auto"/>
          <w:sz w:val="22"/>
          <w:szCs w:val="22"/>
          <w:highlight w:val="none"/>
          <w:lang w:val="en-US" w:eastAsia="zh-CN"/>
        </w:rPr>
        <w:t>安装、</w:t>
      </w:r>
      <w:r>
        <w:rPr>
          <w:rFonts w:hint="eastAsia" w:ascii="仿宋" w:hAnsi="仿宋" w:eastAsia="仿宋" w:cs="仿宋"/>
          <w:b w:val="0"/>
          <w:bCs w:val="0"/>
          <w:color w:val="auto"/>
          <w:sz w:val="22"/>
          <w:szCs w:val="22"/>
          <w:highlight w:val="none"/>
        </w:rPr>
        <w:t>税金、招标代理服务费等各项交付甲方使用的一切所有费用。</w:t>
      </w:r>
    </w:p>
    <w:p w14:paraId="34349040">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14:paraId="74BFBD10">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、甲方根据现场施工进度向乙方书面下单清单中的建设材料，</w:t>
      </w:r>
      <w:r>
        <w:rPr>
          <w:rFonts w:hint="eastAsia" w:ascii="仿宋" w:hAnsi="仿宋" w:eastAsia="仿宋" w:cs="仿宋"/>
          <w:b w:val="0"/>
          <w:bCs w:val="0"/>
          <w:color w:val="auto"/>
          <w:sz w:val="22"/>
          <w:szCs w:val="22"/>
          <w:highlight w:val="none"/>
          <w:lang w:val="en-US" w:eastAsia="zh-CN"/>
        </w:rPr>
        <w:t>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212DBD53">
      <w:pPr>
        <w:snapToGrid w:val="0"/>
        <w:spacing w:line="440" w:lineRule="exact"/>
        <w:ind w:firstLine="440" w:firstLineChars="200"/>
        <w:rPr>
          <w:rFonts w:hint="default"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 xml:space="preserve">4、付款方式为： </w:t>
      </w:r>
      <w:r>
        <w:rPr>
          <w:rFonts w:hint="eastAsia" w:ascii="仿宋" w:hAnsi="仿宋" w:eastAsia="仿宋" w:cs="仿宋"/>
          <w:b w:val="0"/>
          <w:bCs w:val="0"/>
          <w:color w:val="auto"/>
          <w:sz w:val="22"/>
          <w:szCs w:val="22"/>
          <w:highlight w:val="none"/>
          <w:u w:val="single"/>
          <w:lang w:val="en-US" w:eastAsia="zh-CN"/>
        </w:rPr>
        <w:t xml:space="preserve">                                                      。</w:t>
      </w:r>
    </w:p>
    <w:p w14:paraId="7D04E124">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14:paraId="7986132A">
      <w:pPr>
        <w:spacing w:line="440" w:lineRule="exact"/>
        <w:ind w:firstLine="440" w:firstLineChars="200"/>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rPr>
        <w:t>合同经双方法定代表人或授权代表签字并加盖单位公章后生效</w:t>
      </w:r>
      <w:r>
        <w:rPr>
          <w:rFonts w:hint="eastAsia" w:ascii="仿宋" w:hAnsi="仿宋" w:eastAsia="仿宋" w:cs="仿宋"/>
          <w:b w:val="0"/>
          <w:bCs w:val="0"/>
          <w:color w:val="auto"/>
          <w:sz w:val="22"/>
          <w:szCs w:val="22"/>
          <w:highlight w:val="none"/>
          <w:u w:val="single"/>
          <w:lang w:eastAsia="zh-CN"/>
        </w:rPr>
        <w:t>，</w:t>
      </w:r>
      <w:r>
        <w:rPr>
          <w:rFonts w:hint="eastAsia" w:ascii="仿宋" w:hAnsi="仿宋" w:eastAsia="仿宋" w:cs="仿宋"/>
          <w:b w:val="0"/>
          <w:bCs w:val="0"/>
          <w:color w:val="auto"/>
          <w:sz w:val="22"/>
          <w:szCs w:val="22"/>
          <w:highlight w:val="none"/>
          <w:u w:val="single"/>
          <w:lang w:val="en-US" w:eastAsia="zh-CN"/>
        </w:rPr>
        <w:t>合同期限为/年/月/日-/年/月/日。</w:t>
      </w:r>
    </w:p>
    <w:p w14:paraId="27716C8A">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、税费</w:t>
      </w:r>
    </w:p>
    <w:p w14:paraId="3833898C">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14:paraId="5D27792C">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十、售后服务及承诺</w:t>
      </w:r>
    </w:p>
    <w:p w14:paraId="5F6C753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1．乙方应明确承诺售后服务各项内容和措施，提供详细的服务地点、联系人、电话等有关资料；</w:t>
      </w:r>
    </w:p>
    <w:p w14:paraId="1CAD6AC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2．在售后服务期内，因货物的维修和保养所发生的一切费用均由乙方承担；售后服务期满后只收取维修的配件成本费。</w:t>
      </w:r>
    </w:p>
    <w:p w14:paraId="2454A317">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3.乙方在收到甲方维修通知后必须</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12</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rPr>
        <w:t>小时之内及时进行现场响应。</w:t>
      </w:r>
    </w:p>
    <w:p w14:paraId="00155BA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4.售后服务期与售后服务期承诺时间相同。</w:t>
      </w:r>
    </w:p>
    <w:p w14:paraId="36F2B64E">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rPr>
        <w:t>、质保期后产品维修材料的供应价格不高于市场报价。</w:t>
      </w:r>
    </w:p>
    <w:p w14:paraId="0176DE57">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rPr>
        <w:t>、由于材料本身缺陷造成的质量问题，即使质保期已过，乙方也必须免费及时解决该质量问题，并应赔偿甲方因该质量问题遭受到的损失。</w:t>
      </w:r>
    </w:p>
    <w:p w14:paraId="676E9BDF">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备件：</w:t>
      </w:r>
    </w:p>
    <w:p w14:paraId="0463D25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正如合同条款所规定，乙方可能被要求提供下列与备件有关的材料、通知和资料：</w:t>
      </w:r>
    </w:p>
    <w:p w14:paraId="6150115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1．甲方从乙方选购备件，但前提条件是该选择并不能免除乙方在合同保证期内所承担的义务；</w:t>
      </w:r>
    </w:p>
    <w:p w14:paraId="41FA871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14:paraId="4AB6E3C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3．在备件停产后，如果甲方要求，乙方应免费向甲方提供备件的蓝图等相关技术资料。</w:t>
      </w:r>
    </w:p>
    <w:p w14:paraId="685A3D38">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、技术质量保证</w:t>
      </w:r>
    </w:p>
    <w:p w14:paraId="4F995DB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14:paraId="39C5C4E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14:paraId="021F2650">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p>
    <w:p w14:paraId="00E17B1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4．乙方对提供的货物执行一定的保质期限，乙方应对保质期内由于货物的缺陷（非人为因素）而引发的任何不足负责，费用由乙方承担；</w:t>
      </w:r>
    </w:p>
    <w:p w14:paraId="41728D5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14:paraId="677F27C0">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14:paraId="7B609DB0">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14:paraId="62BDCB31">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、验收</w:t>
      </w:r>
    </w:p>
    <w:p w14:paraId="114CA2EE">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4E6276D1">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、货物包装、发运及运输</w:t>
      </w:r>
    </w:p>
    <w:p w14:paraId="33C7D01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14:paraId="57AD066B">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14:paraId="077D539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14:paraId="301B959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14:paraId="0053716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14:paraId="7B6BEF9A">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5. 货物在规定的交付期限内由乙方送达甲方指定的地点</w:t>
      </w:r>
      <w:r>
        <w:rPr>
          <w:rFonts w:hint="eastAsia" w:ascii="仿宋" w:hAnsi="仿宋" w:eastAsia="仿宋" w:cs="仿宋"/>
          <w:b w:val="0"/>
          <w:bCs w:val="0"/>
          <w:color w:val="auto"/>
          <w:sz w:val="22"/>
          <w:szCs w:val="22"/>
          <w:highlight w:val="none"/>
          <w:lang w:eastAsia="zh-Hans"/>
        </w:rPr>
        <w:t>并经甲方初步验收后</w:t>
      </w:r>
      <w:r>
        <w:rPr>
          <w:rFonts w:hint="eastAsia" w:ascii="仿宋" w:hAnsi="仿宋" w:eastAsia="仿宋" w:cs="仿宋"/>
          <w:b w:val="0"/>
          <w:bCs w:val="0"/>
          <w:color w:val="auto"/>
          <w:sz w:val="22"/>
          <w:szCs w:val="22"/>
          <w:highlight w:val="none"/>
        </w:rPr>
        <w:t>视为交付，乙方同时需负责卸货并通知甲方货物已送达。</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14:paraId="54C726F0">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7A1AE31E">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7.甲方根据项目施工实际进度需要开具供货清单给乙方，乙方应自收到甲方供货清单之日起15天内完成货物交付，否则每延期一天</w:t>
      </w:r>
      <w:r>
        <w:rPr>
          <w:rFonts w:hint="eastAsia" w:ascii="仿宋" w:hAnsi="仿宋" w:eastAsia="仿宋" w:cs="仿宋"/>
          <w:b w:val="0"/>
          <w:bCs w:val="0"/>
          <w:color w:val="auto"/>
          <w:sz w:val="22"/>
          <w:szCs w:val="22"/>
          <w:highlight w:val="none"/>
        </w:rPr>
        <w:t>按逾期</w:t>
      </w:r>
      <w:r>
        <w:rPr>
          <w:rFonts w:hint="eastAsia" w:ascii="仿宋" w:hAnsi="仿宋" w:eastAsia="仿宋" w:cs="仿宋"/>
          <w:b w:val="0"/>
          <w:bCs w:val="0"/>
          <w:color w:val="auto"/>
          <w:sz w:val="22"/>
          <w:szCs w:val="22"/>
          <w:highlight w:val="none"/>
          <w:lang w:val="en-US" w:eastAsia="zh-CN"/>
        </w:rPr>
        <w:t>伍仟元/天扣罚罚金，由甲方从待付货款或从乙方履约保证金中直接扣除，如延期交付造成甲方损失的，则由乙方全额赔偿甲方损失。</w:t>
      </w:r>
    </w:p>
    <w:p w14:paraId="3161FA2D">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29926DC9">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、违约责任</w:t>
      </w:r>
    </w:p>
    <w:p w14:paraId="489A0D7B">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伍仟元/天</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或从乙方的履约保证金中进行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14:paraId="1DE4746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14:paraId="0A7831D5">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7589E284">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- 20 %的违约金。乙方严重违约的，甲方有权解除本合同。</w:t>
      </w:r>
    </w:p>
    <w:p w14:paraId="426359C9">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14:paraId="3B737A3A">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14:paraId="370D689E">
      <w:pPr>
        <w:spacing w:line="440" w:lineRule="exact"/>
        <w:ind w:firstLine="440" w:firstLineChars="200"/>
        <w:rPr>
          <w:rFonts w:hint="eastAsia"/>
          <w:lang w:eastAsia="zh-Hans"/>
        </w:rPr>
      </w:pPr>
      <w:r>
        <w:rPr>
          <w:rFonts w:hint="eastAsia" w:ascii="仿宋" w:hAnsi="仿宋" w:eastAsia="仿宋" w:cs="仿宋"/>
          <w:b w:val="0"/>
          <w:bCs w:val="0"/>
          <w:color w:val="auto"/>
          <w:sz w:val="22"/>
          <w:szCs w:val="22"/>
          <w:highlight w:val="none"/>
          <w:lang w:val="en-US" w:eastAsia="zh-CN"/>
        </w:rPr>
        <w:t>7、乙方设备进场时应与甲方办理移交手续，如未经办理移交手续，后续施工过程中发现相关设备造成问题的由乙方自行负责。</w:t>
      </w:r>
    </w:p>
    <w:p w14:paraId="49B25F64">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、不可抗力事件处理</w:t>
      </w:r>
    </w:p>
    <w:p w14:paraId="3E7EFABB">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14:paraId="7B4E86C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14:paraId="28AD2170">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14:paraId="69CA4162">
      <w:pPr>
        <w:spacing w:line="440" w:lineRule="exact"/>
        <w:ind w:firstLine="440" w:firstLineChars="200"/>
        <w:jc w:val="both"/>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4.一方违约后发生不可抗力的，违约方不可主张免责</w:t>
      </w:r>
    </w:p>
    <w:p w14:paraId="4C0D2BE7">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十六</w:t>
      </w:r>
      <w:r>
        <w:rPr>
          <w:rFonts w:hint="eastAsia" w:ascii="仿宋" w:hAnsi="仿宋" w:eastAsia="仿宋" w:cs="仿宋"/>
          <w:b w:val="0"/>
          <w:bCs w:val="0"/>
          <w:color w:val="auto"/>
          <w:sz w:val="22"/>
          <w:szCs w:val="22"/>
          <w:highlight w:val="none"/>
        </w:rPr>
        <w:t>、纠纷解决</w:t>
      </w:r>
    </w:p>
    <w:p w14:paraId="10794AA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14:paraId="1888B637">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十七</w:t>
      </w:r>
      <w:r>
        <w:rPr>
          <w:rFonts w:hint="eastAsia" w:ascii="仿宋" w:hAnsi="仿宋" w:eastAsia="仿宋" w:cs="仿宋"/>
          <w:b w:val="0"/>
          <w:bCs w:val="0"/>
          <w:color w:val="auto"/>
          <w:sz w:val="22"/>
          <w:szCs w:val="22"/>
          <w:highlight w:val="none"/>
        </w:rPr>
        <w:t>、合同生效及其他</w:t>
      </w:r>
    </w:p>
    <w:p w14:paraId="2508027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合同经双方法定代表人或其法定代表人或其授权代理人并加盖单位公章后生效。</w:t>
      </w:r>
    </w:p>
    <w:p w14:paraId="0222D93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14:paraId="6E57A164">
      <w:pPr>
        <w:spacing w:line="440" w:lineRule="exact"/>
        <w:ind w:firstLine="440" w:firstLineChars="200"/>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14:paraId="545779F0">
      <w:pPr>
        <w:pStyle w:val="7"/>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14:paraId="14D1129E">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14:paraId="53498B40">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14:paraId="1BE0467C">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14:paraId="567ACCA3">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开户银行：                开户银行：                  签订地点：</w:t>
      </w:r>
    </w:p>
    <w:p w14:paraId="6100385E">
      <w:pPr>
        <w:tabs>
          <w:tab w:val="left" w:pos="1440"/>
        </w:tabs>
        <w:spacing w:line="440" w:lineRule="exact"/>
        <w:ind w:firstLine="220" w:firstLineChars="100"/>
        <w:rPr>
          <w:rFonts w:hint="eastAsia" w:ascii="仿宋" w:hAnsi="仿宋" w:eastAsia="仿宋" w:cs="仿宋"/>
          <w:sz w:val="32"/>
          <w:szCs w:val="32"/>
          <w:highlight w:val="none"/>
        </w:rPr>
      </w:pPr>
      <w:r>
        <w:rPr>
          <w:rFonts w:hint="eastAsia" w:ascii="仿宋" w:hAnsi="仿宋" w:eastAsia="仿宋" w:cs="仿宋"/>
          <w:b w:val="0"/>
          <w:bCs w:val="0"/>
          <w:color w:val="auto"/>
          <w:sz w:val="22"/>
          <w:szCs w:val="22"/>
          <w:highlight w:val="none"/>
        </w:rPr>
        <w:t>账号：                    账号：                      签订时间：</w:t>
      </w:r>
    </w:p>
    <w:p w14:paraId="01F1A84B">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14:paraId="5D38F41C">
      <w:pPr>
        <w:pStyle w:val="2"/>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4"/>
      <w:bookmarkEnd w:id="45"/>
      <w:bookmarkEnd w:id="46"/>
    </w:p>
    <w:p w14:paraId="0EC2E083">
      <w:pPr>
        <w:pStyle w:val="4"/>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7797A426">
      <w:pPr>
        <w:pStyle w:val="12"/>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0D91AFF8">
      <w:pPr>
        <w:pStyle w:val="4"/>
        <w:spacing w:line="300" w:lineRule="auto"/>
        <w:ind w:firstLine="0"/>
        <w:jc w:val="center"/>
        <w:rPr>
          <w:rFonts w:hint="eastAsia" w:ascii="仿宋" w:hAnsi="仿宋" w:eastAsia="仿宋" w:cs="仿宋"/>
          <w:b/>
          <w:bCs/>
          <w:color w:val="auto"/>
          <w:spacing w:val="24"/>
          <w:sz w:val="30"/>
          <w:highlight w:val="none"/>
        </w:rPr>
      </w:pPr>
    </w:p>
    <w:p w14:paraId="73E991E1">
      <w:pPr>
        <w:pStyle w:val="4"/>
        <w:spacing w:line="300" w:lineRule="auto"/>
        <w:ind w:firstLine="0"/>
        <w:jc w:val="center"/>
        <w:rPr>
          <w:rFonts w:hint="eastAsia" w:ascii="仿宋" w:hAnsi="仿宋" w:eastAsia="仿宋" w:cs="仿宋"/>
          <w:b/>
          <w:bCs/>
          <w:color w:val="auto"/>
          <w:spacing w:val="24"/>
          <w:sz w:val="30"/>
          <w:highlight w:val="none"/>
        </w:rPr>
      </w:pPr>
    </w:p>
    <w:p w14:paraId="7C03068B">
      <w:pPr>
        <w:pStyle w:val="4"/>
        <w:spacing w:line="300" w:lineRule="auto"/>
        <w:ind w:firstLine="0"/>
        <w:jc w:val="center"/>
        <w:rPr>
          <w:rFonts w:hint="eastAsia" w:ascii="仿宋" w:hAnsi="仿宋" w:eastAsia="仿宋" w:cs="仿宋"/>
          <w:b/>
          <w:bCs/>
          <w:color w:val="auto"/>
          <w:spacing w:val="24"/>
          <w:sz w:val="30"/>
          <w:highlight w:val="none"/>
        </w:rPr>
      </w:pPr>
    </w:p>
    <w:p w14:paraId="2F6E05A9">
      <w:pPr>
        <w:pStyle w:val="4"/>
        <w:spacing w:line="300" w:lineRule="auto"/>
        <w:ind w:firstLine="0"/>
        <w:jc w:val="center"/>
        <w:rPr>
          <w:rFonts w:hint="eastAsia" w:ascii="仿宋" w:hAnsi="仿宋" w:eastAsia="仿宋" w:cs="仿宋"/>
          <w:b/>
          <w:bCs/>
          <w:color w:val="auto"/>
          <w:spacing w:val="24"/>
          <w:sz w:val="30"/>
          <w:highlight w:val="none"/>
        </w:rPr>
      </w:pPr>
    </w:p>
    <w:p w14:paraId="5FD36D85">
      <w:pPr>
        <w:pStyle w:val="4"/>
        <w:spacing w:line="300" w:lineRule="auto"/>
        <w:ind w:firstLine="0"/>
        <w:jc w:val="center"/>
        <w:rPr>
          <w:rFonts w:hint="eastAsia" w:ascii="仿宋" w:hAnsi="仿宋" w:eastAsia="仿宋" w:cs="仿宋"/>
          <w:b/>
          <w:bCs/>
          <w:color w:val="auto"/>
          <w:spacing w:val="24"/>
          <w:sz w:val="30"/>
          <w:highlight w:val="none"/>
        </w:rPr>
      </w:pPr>
    </w:p>
    <w:p w14:paraId="4AE8F69D">
      <w:pPr>
        <w:pStyle w:val="4"/>
        <w:spacing w:line="300" w:lineRule="auto"/>
        <w:ind w:firstLine="0"/>
        <w:jc w:val="center"/>
        <w:rPr>
          <w:rFonts w:hint="eastAsia" w:ascii="仿宋" w:hAnsi="仿宋" w:eastAsia="仿宋" w:cs="仿宋"/>
          <w:b/>
          <w:bCs/>
          <w:color w:val="auto"/>
          <w:spacing w:val="24"/>
          <w:sz w:val="30"/>
          <w:highlight w:val="none"/>
        </w:rPr>
      </w:pPr>
    </w:p>
    <w:p w14:paraId="0838B8C9">
      <w:pPr>
        <w:pStyle w:val="4"/>
        <w:spacing w:line="300" w:lineRule="auto"/>
        <w:ind w:firstLine="0"/>
        <w:jc w:val="center"/>
        <w:rPr>
          <w:rFonts w:hint="eastAsia" w:ascii="仿宋" w:hAnsi="仿宋" w:eastAsia="仿宋" w:cs="仿宋"/>
          <w:b/>
          <w:bCs/>
          <w:color w:val="auto"/>
          <w:spacing w:val="24"/>
          <w:sz w:val="30"/>
          <w:highlight w:val="none"/>
        </w:rPr>
      </w:pPr>
    </w:p>
    <w:p w14:paraId="189E6B23">
      <w:pPr>
        <w:pStyle w:val="4"/>
        <w:spacing w:line="300" w:lineRule="auto"/>
        <w:ind w:firstLine="0"/>
        <w:jc w:val="center"/>
        <w:rPr>
          <w:rFonts w:hint="eastAsia" w:ascii="仿宋" w:hAnsi="仿宋" w:eastAsia="仿宋" w:cs="仿宋"/>
          <w:b/>
          <w:bCs/>
          <w:color w:val="auto"/>
          <w:spacing w:val="24"/>
          <w:sz w:val="30"/>
          <w:highlight w:val="none"/>
        </w:rPr>
      </w:pPr>
    </w:p>
    <w:p w14:paraId="32475CBD">
      <w:pPr>
        <w:pStyle w:val="4"/>
        <w:spacing w:line="300" w:lineRule="auto"/>
        <w:ind w:firstLine="0"/>
        <w:jc w:val="center"/>
        <w:rPr>
          <w:rFonts w:hint="eastAsia" w:ascii="仿宋" w:hAnsi="仿宋" w:eastAsia="仿宋" w:cs="仿宋"/>
          <w:b/>
          <w:bCs/>
          <w:color w:val="auto"/>
          <w:spacing w:val="24"/>
          <w:sz w:val="30"/>
          <w:highlight w:val="none"/>
        </w:rPr>
      </w:pPr>
    </w:p>
    <w:p w14:paraId="6DCED3C2">
      <w:pPr>
        <w:pStyle w:val="4"/>
        <w:spacing w:line="300" w:lineRule="auto"/>
        <w:ind w:firstLine="0"/>
        <w:jc w:val="center"/>
        <w:rPr>
          <w:rFonts w:hint="eastAsia" w:ascii="仿宋" w:hAnsi="仿宋" w:eastAsia="仿宋" w:cs="仿宋"/>
          <w:b/>
          <w:bCs/>
          <w:color w:val="auto"/>
          <w:spacing w:val="24"/>
          <w:sz w:val="30"/>
          <w:highlight w:val="none"/>
        </w:rPr>
      </w:pPr>
    </w:p>
    <w:p w14:paraId="234ADE99">
      <w:pPr>
        <w:pStyle w:val="4"/>
        <w:spacing w:line="300" w:lineRule="auto"/>
        <w:ind w:firstLine="0"/>
        <w:jc w:val="center"/>
        <w:rPr>
          <w:rFonts w:hint="eastAsia" w:ascii="仿宋" w:hAnsi="仿宋" w:eastAsia="仿宋" w:cs="仿宋"/>
          <w:b/>
          <w:bCs/>
          <w:color w:val="auto"/>
          <w:spacing w:val="24"/>
          <w:sz w:val="30"/>
          <w:highlight w:val="none"/>
        </w:rPr>
      </w:pPr>
    </w:p>
    <w:p w14:paraId="09402795">
      <w:pPr>
        <w:pStyle w:val="4"/>
        <w:spacing w:line="300" w:lineRule="auto"/>
        <w:ind w:firstLine="0"/>
        <w:jc w:val="center"/>
        <w:rPr>
          <w:rFonts w:hint="eastAsia" w:ascii="仿宋" w:hAnsi="仿宋" w:eastAsia="仿宋" w:cs="仿宋"/>
          <w:b/>
          <w:bCs/>
          <w:color w:val="auto"/>
          <w:spacing w:val="24"/>
          <w:sz w:val="30"/>
          <w:highlight w:val="none"/>
        </w:rPr>
      </w:pPr>
    </w:p>
    <w:p w14:paraId="3FF3AB0C">
      <w:pPr>
        <w:rPr>
          <w:rFonts w:hint="eastAsia" w:ascii="仿宋" w:hAnsi="仿宋" w:eastAsia="仿宋" w:cs="仿宋"/>
          <w:b/>
          <w:bCs/>
          <w:color w:val="auto"/>
          <w:spacing w:val="24"/>
          <w:sz w:val="30"/>
          <w:highlight w:val="none"/>
        </w:rPr>
      </w:pPr>
    </w:p>
    <w:p w14:paraId="5E19F278">
      <w:pPr>
        <w:pStyle w:val="19"/>
        <w:rPr>
          <w:rFonts w:hint="eastAsia" w:ascii="仿宋" w:hAnsi="仿宋" w:eastAsia="仿宋" w:cs="仿宋"/>
          <w:b/>
          <w:bCs/>
          <w:color w:val="auto"/>
          <w:spacing w:val="24"/>
          <w:sz w:val="30"/>
          <w:highlight w:val="none"/>
        </w:rPr>
      </w:pPr>
    </w:p>
    <w:p w14:paraId="49914859">
      <w:pPr>
        <w:pStyle w:val="19"/>
        <w:rPr>
          <w:rFonts w:hint="eastAsia" w:ascii="仿宋" w:hAnsi="仿宋" w:eastAsia="仿宋" w:cs="仿宋"/>
          <w:b/>
          <w:bCs/>
          <w:color w:val="auto"/>
          <w:spacing w:val="24"/>
          <w:sz w:val="30"/>
          <w:highlight w:val="none"/>
        </w:rPr>
      </w:pPr>
    </w:p>
    <w:p w14:paraId="48ED6CB6">
      <w:pPr>
        <w:pStyle w:val="4"/>
        <w:spacing w:line="300" w:lineRule="auto"/>
        <w:ind w:firstLine="0"/>
        <w:jc w:val="center"/>
        <w:rPr>
          <w:rFonts w:hint="eastAsia" w:ascii="仿宋" w:hAnsi="仿宋" w:eastAsia="仿宋" w:cs="仿宋"/>
          <w:b/>
          <w:bCs/>
          <w:color w:val="auto"/>
          <w:spacing w:val="24"/>
          <w:sz w:val="30"/>
          <w:highlight w:val="none"/>
        </w:rPr>
      </w:pPr>
    </w:p>
    <w:p w14:paraId="665FDEFD">
      <w:pPr>
        <w:pStyle w:val="4"/>
        <w:spacing w:line="300" w:lineRule="auto"/>
        <w:ind w:firstLine="0"/>
        <w:jc w:val="center"/>
        <w:rPr>
          <w:rFonts w:hint="eastAsia" w:ascii="仿宋" w:hAnsi="仿宋" w:eastAsia="仿宋" w:cs="仿宋"/>
          <w:b/>
          <w:bCs/>
          <w:color w:val="auto"/>
          <w:spacing w:val="24"/>
          <w:sz w:val="30"/>
          <w:highlight w:val="none"/>
        </w:rPr>
      </w:pPr>
    </w:p>
    <w:p w14:paraId="6E73B418">
      <w:pPr>
        <w:pStyle w:val="4"/>
        <w:spacing w:line="300" w:lineRule="auto"/>
        <w:ind w:firstLine="0"/>
        <w:jc w:val="center"/>
        <w:rPr>
          <w:rFonts w:hint="eastAsia" w:ascii="仿宋" w:hAnsi="仿宋" w:eastAsia="仿宋" w:cs="仿宋"/>
          <w:b/>
          <w:bCs/>
          <w:color w:val="auto"/>
          <w:spacing w:val="24"/>
          <w:sz w:val="30"/>
          <w:highlight w:val="none"/>
        </w:rPr>
      </w:pPr>
    </w:p>
    <w:p w14:paraId="37C7B22E">
      <w:pPr>
        <w:pStyle w:val="4"/>
        <w:spacing w:line="300" w:lineRule="auto"/>
        <w:ind w:firstLine="0"/>
        <w:jc w:val="center"/>
        <w:rPr>
          <w:rFonts w:hint="eastAsia" w:ascii="仿宋" w:hAnsi="仿宋" w:eastAsia="仿宋" w:cs="仿宋"/>
          <w:b/>
          <w:bCs/>
          <w:color w:val="auto"/>
          <w:spacing w:val="24"/>
          <w:sz w:val="30"/>
          <w:highlight w:val="none"/>
        </w:rPr>
      </w:pPr>
    </w:p>
    <w:p w14:paraId="050B9290">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37CC6370">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7A031DC5">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0429F8ED">
      <w:pPr>
        <w:pStyle w:val="4"/>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07EAE830">
      <w:pPr>
        <w:pStyle w:val="4"/>
        <w:spacing w:line="300" w:lineRule="auto"/>
        <w:ind w:firstLine="468" w:firstLineChars="156"/>
        <w:rPr>
          <w:rFonts w:hint="eastAsia" w:ascii="仿宋" w:hAnsi="仿宋" w:eastAsia="仿宋" w:cs="仿宋"/>
          <w:color w:val="auto"/>
          <w:sz w:val="30"/>
          <w:szCs w:val="24"/>
          <w:highlight w:val="none"/>
        </w:rPr>
      </w:pPr>
    </w:p>
    <w:p w14:paraId="14FA6A59">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6BBD382D">
      <w:pPr>
        <w:pStyle w:val="4"/>
        <w:spacing w:line="300" w:lineRule="auto"/>
        <w:ind w:firstLine="468" w:firstLineChars="156"/>
        <w:rPr>
          <w:rFonts w:hint="eastAsia" w:ascii="仿宋" w:hAnsi="仿宋" w:eastAsia="仿宋" w:cs="仿宋"/>
          <w:color w:val="auto"/>
          <w:sz w:val="30"/>
          <w:szCs w:val="24"/>
          <w:highlight w:val="none"/>
        </w:rPr>
      </w:pPr>
    </w:p>
    <w:p w14:paraId="64465DA2">
      <w:pPr>
        <w:pStyle w:val="4"/>
        <w:spacing w:line="300" w:lineRule="auto"/>
        <w:ind w:firstLine="468" w:firstLineChars="156"/>
        <w:rPr>
          <w:rFonts w:hint="eastAsia" w:ascii="仿宋" w:hAnsi="仿宋" w:eastAsia="仿宋" w:cs="仿宋"/>
          <w:color w:val="auto"/>
          <w:sz w:val="30"/>
          <w:szCs w:val="24"/>
          <w:highlight w:val="none"/>
        </w:rPr>
      </w:pPr>
    </w:p>
    <w:p w14:paraId="490993C3">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275E2414">
      <w:pPr>
        <w:pStyle w:val="4"/>
        <w:spacing w:line="300" w:lineRule="auto"/>
        <w:ind w:firstLine="468" w:firstLineChars="156"/>
        <w:rPr>
          <w:rFonts w:hint="eastAsia" w:ascii="仿宋" w:hAnsi="仿宋" w:eastAsia="仿宋" w:cs="仿宋"/>
          <w:color w:val="auto"/>
          <w:sz w:val="30"/>
          <w:szCs w:val="24"/>
          <w:highlight w:val="none"/>
        </w:rPr>
      </w:pPr>
    </w:p>
    <w:p w14:paraId="73776C59">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08723E19">
      <w:pPr>
        <w:pStyle w:val="4"/>
        <w:spacing w:line="300" w:lineRule="auto"/>
        <w:ind w:firstLine="468" w:firstLineChars="156"/>
        <w:jc w:val="center"/>
        <w:rPr>
          <w:rFonts w:hint="eastAsia" w:ascii="仿宋" w:hAnsi="仿宋" w:eastAsia="仿宋" w:cs="仿宋"/>
          <w:color w:val="auto"/>
          <w:sz w:val="30"/>
          <w:szCs w:val="24"/>
          <w:highlight w:val="none"/>
        </w:rPr>
      </w:pPr>
    </w:p>
    <w:p w14:paraId="373EA206">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5A4E2145">
      <w:pPr>
        <w:pStyle w:val="4"/>
        <w:spacing w:line="300" w:lineRule="auto"/>
        <w:ind w:firstLine="468" w:firstLineChars="156"/>
        <w:jc w:val="center"/>
        <w:rPr>
          <w:rFonts w:hint="eastAsia" w:ascii="仿宋" w:hAnsi="仿宋" w:eastAsia="仿宋" w:cs="仿宋"/>
          <w:color w:val="auto"/>
          <w:sz w:val="30"/>
          <w:szCs w:val="24"/>
          <w:highlight w:val="none"/>
        </w:rPr>
      </w:pPr>
    </w:p>
    <w:p w14:paraId="47D58E23">
      <w:pPr>
        <w:pStyle w:val="4"/>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4E9559BE">
      <w:pPr>
        <w:pStyle w:val="4"/>
        <w:spacing w:line="300" w:lineRule="auto"/>
        <w:ind w:firstLine="468" w:firstLineChars="156"/>
        <w:jc w:val="center"/>
        <w:rPr>
          <w:rFonts w:hint="eastAsia" w:ascii="仿宋" w:hAnsi="仿宋" w:eastAsia="仿宋" w:cs="仿宋"/>
          <w:color w:val="auto"/>
          <w:sz w:val="30"/>
          <w:szCs w:val="24"/>
          <w:highlight w:val="none"/>
        </w:rPr>
      </w:pPr>
    </w:p>
    <w:p w14:paraId="7301FC2B">
      <w:pPr>
        <w:pStyle w:val="4"/>
        <w:spacing w:line="300" w:lineRule="auto"/>
        <w:ind w:firstLine="468" w:firstLineChars="156"/>
        <w:jc w:val="center"/>
        <w:rPr>
          <w:rFonts w:hint="eastAsia" w:ascii="仿宋" w:hAnsi="仿宋" w:eastAsia="仿宋" w:cs="仿宋"/>
          <w:color w:val="auto"/>
          <w:sz w:val="30"/>
          <w:szCs w:val="24"/>
          <w:highlight w:val="none"/>
        </w:rPr>
      </w:pPr>
    </w:p>
    <w:p w14:paraId="6B81B91F">
      <w:pPr>
        <w:pStyle w:val="4"/>
        <w:spacing w:line="300" w:lineRule="auto"/>
        <w:ind w:firstLine="468" w:firstLineChars="156"/>
        <w:jc w:val="center"/>
        <w:rPr>
          <w:rFonts w:hint="eastAsia" w:ascii="仿宋" w:hAnsi="仿宋" w:eastAsia="仿宋" w:cs="仿宋"/>
          <w:color w:val="auto"/>
          <w:sz w:val="30"/>
          <w:szCs w:val="24"/>
          <w:highlight w:val="none"/>
        </w:rPr>
      </w:pPr>
    </w:p>
    <w:p w14:paraId="26775EED">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1FBF05C2">
      <w:pPr>
        <w:spacing w:line="300" w:lineRule="auto"/>
        <w:rPr>
          <w:rFonts w:hint="eastAsia" w:ascii="仿宋" w:hAnsi="仿宋" w:eastAsia="仿宋" w:cs="仿宋"/>
          <w:color w:val="auto"/>
          <w:sz w:val="30"/>
          <w:highlight w:val="none"/>
        </w:rPr>
      </w:pPr>
    </w:p>
    <w:p w14:paraId="69A656D2">
      <w:pPr>
        <w:spacing w:line="300" w:lineRule="auto"/>
        <w:rPr>
          <w:rFonts w:hint="eastAsia" w:ascii="仿宋" w:hAnsi="仿宋" w:eastAsia="仿宋" w:cs="仿宋"/>
          <w:color w:val="auto"/>
          <w:sz w:val="30"/>
          <w:highlight w:val="none"/>
        </w:rPr>
      </w:pPr>
    </w:p>
    <w:p w14:paraId="6BB59B27">
      <w:pPr>
        <w:widowControl/>
        <w:jc w:val="left"/>
        <w:rPr>
          <w:rFonts w:hint="eastAsia" w:ascii="仿宋" w:hAnsi="仿宋" w:eastAsia="仿宋" w:cs="仿宋"/>
          <w:color w:val="auto"/>
          <w:sz w:val="30"/>
          <w:highlight w:val="none"/>
        </w:rPr>
      </w:pPr>
    </w:p>
    <w:p w14:paraId="6B92525E">
      <w:pPr>
        <w:spacing w:line="300" w:lineRule="auto"/>
        <w:rPr>
          <w:rFonts w:hint="eastAsia" w:ascii="仿宋" w:hAnsi="仿宋" w:eastAsia="仿宋" w:cs="仿宋"/>
          <w:color w:val="auto"/>
          <w:sz w:val="30"/>
          <w:highlight w:val="none"/>
        </w:rPr>
      </w:pPr>
    </w:p>
    <w:p w14:paraId="3BDB8F11">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7E489494">
      <w:pPr>
        <w:spacing w:line="300" w:lineRule="auto"/>
        <w:ind w:firstLine="600" w:firstLineChars="200"/>
        <w:rPr>
          <w:rFonts w:hint="eastAsia" w:ascii="仿宋" w:hAnsi="仿宋" w:eastAsia="仿宋" w:cs="仿宋"/>
          <w:color w:val="auto"/>
          <w:sz w:val="30"/>
          <w:highlight w:val="none"/>
        </w:rPr>
      </w:pPr>
    </w:p>
    <w:p w14:paraId="72F0E517">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7668A172">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343C3617">
      <w:pPr>
        <w:spacing w:after="156" w:line="300" w:lineRule="auto"/>
        <w:rPr>
          <w:rFonts w:hint="eastAsia" w:ascii="仿宋" w:hAnsi="仿宋" w:eastAsia="仿宋" w:cs="仿宋"/>
          <w:b/>
          <w:color w:val="auto"/>
          <w:sz w:val="30"/>
          <w:highlight w:val="none"/>
        </w:rPr>
      </w:pPr>
    </w:p>
    <w:p w14:paraId="6337E8F1">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1DF7C33F">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67786D95">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503E7767">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1934CBA1">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2DA72408">
      <w:pPr>
        <w:spacing w:line="300" w:lineRule="auto"/>
        <w:jc w:val="center"/>
        <w:rPr>
          <w:rFonts w:hint="eastAsia" w:ascii="仿宋" w:hAnsi="仿宋" w:eastAsia="仿宋" w:cs="仿宋"/>
          <w:color w:val="auto"/>
          <w:sz w:val="30"/>
          <w:highlight w:val="none"/>
          <w:u w:val="single"/>
        </w:rPr>
      </w:pPr>
    </w:p>
    <w:p w14:paraId="6EF81484">
      <w:pPr>
        <w:pStyle w:val="4"/>
        <w:spacing w:line="300" w:lineRule="auto"/>
        <w:ind w:firstLine="468" w:firstLineChars="156"/>
        <w:jc w:val="center"/>
        <w:rPr>
          <w:rFonts w:hint="eastAsia" w:ascii="仿宋" w:hAnsi="仿宋" w:eastAsia="仿宋" w:cs="仿宋"/>
          <w:color w:val="auto"/>
          <w:sz w:val="30"/>
          <w:szCs w:val="24"/>
          <w:highlight w:val="none"/>
        </w:rPr>
      </w:pPr>
    </w:p>
    <w:p w14:paraId="12709131">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6AA87B0D">
      <w:pPr>
        <w:pStyle w:val="4"/>
        <w:spacing w:line="300" w:lineRule="auto"/>
        <w:ind w:firstLine="468" w:firstLineChars="156"/>
        <w:jc w:val="center"/>
        <w:rPr>
          <w:rFonts w:hint="eastAsia" w:ascii="仿宋" w:hAnsi="仿宋" w:eastAsia="仿宋" w:cs="仿宋"/>
          <w:color w:val="auto"/>
          <w:sz w:val="30"/>
          <w:szCs w:val="24"/>
          <w:highlight w:val="none"/>
        </w:rPr>
      </w:pPr>
    </w:p>
    <w:p w14:paraId="62385F88">
      <w:pPr>
        <w:pStyle w:val="4"/>
        <w:spacing w:line="300" w:lineRule="auto"/>
        <w:ind w:firstLine="468" w:firstLineChars="156"/>
        <w:jc w:val="center"/>
        <w:rPr>
          <w:rFonts w:hint="eastAsia" w:ascii="仿宋" w:hAnsi="仿宋" w:eastAsia="仿宋" w:cs="仿宋"/>
          <w:color w:val="auto"/>
          <w:sz w:val="30"/>
          <w:szCs w:val="24"/>
          <w:highlight w:val="none"/>
        </w:rPr>
      </w:pPr>
    </w:p>
    <w:p w14:paraId="2B43865F">
      <w:pPr>
        <w:pStyle w:val="4"/>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14:paraId="00175F0A">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moder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902EF">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0FE4A">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8B0FE4A">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B198A">
    <w:pPr>
      <w:pStyle w:val="9"/>
      <w:jc w:val="center"/>
      <w:rPr>
        <w:rStyle w:val="17"/>
      </w:rPr>
    </w:pPr>
    <w:r>
      <w:rPr>
        <w:rStyle w:val="17"/>
        <w:rFonts w:hint="eastAsia"/>
      </w:rPr>
      <w:t>第</w:t>
    </w:r>
    <w:r>
      <w:fldChar w:fldCharType="begin"/>
    </w:r>
    <w:r>
      <w:rPr>
        <w:rStyle w:val="17"/>
      </w:rPr>
      <w:instrText xml:space="preserve">PAGE  </w:instrText>
    </w:r>
    <w:r>
      <w:fldChar w:fldCharType="separate"/>
    </w:r>
    <w:r>
      <w:rPr>
        <w:rStyle w:val="17"/>
      </w:rPr>
      <w:t>20</w:t>
    </w:r>
    <w:r>
      <w:fldChar w:fldCharType="end"/>
    </w:r>
    <w:r>
      <w:rPr>
        <w:rStyle w:val="17"/>
        <w:rFonts w:hint="eastAsia"/>
      </w:rPr>
      <w:t>页，共</w:t>
    </w:r>
    <w:r>
      <w:fldChar w:fldCharType="begin"/>
    </w:r>
    <w:r>
      <w:rPr>
        <w:rStyle w:val="17"/>
      </w:rPr>
      <w:instrText xml:space="preserve"> NUMPAGES </w:instrText>
    </w:r>
    <w:r>
      <w:fldChar w:fldCharType="separate"/>
    </w:r>
    <w:r>
      <w:rPr>
        <w:rStyle w:val="17"/>
      </w:rPr>
      <w:t>20</w:t>
    </w:r>
    <w:r>
      <w:fldChar w:fldCharType="end"/>
    </w:r>
    <w:r>
      <w:rPr>
        <w:rStyle w:val="17"/>
        <w:rFonts w:hint="eastAsia"/>
      </w:rPr>
      <w:t>页</w:t>
    </w:r>
  </w:p>
  <w:p w14:paraId="59D67A24">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27C8E">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D6211">
    <w:pPr>
      <w:pStyle w:val="10"/>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84BAE">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kNThhMGQ4MTcyOTY1OTM5MTYyYmY3ZTIzYzgwMTkifQ=="/>
  </w:docVars>
  <w:rsids>
    <w:rsidRoot w:val="00000000"/>
    <w:rsid w:val="031E020B"/>
    <w:rsid w:val="05254055"/>
    <w:rsid w:val="054654A4"/>
    <w:rsid w:val="05C171EE"/>
    <w:rsid w:val="0AFA743A"/>
    <w:rsid w:val="0FD21262"/>
    <w:rsid w:val="112D5D5D"/>
    <w:rsid w:val="12146BB0"/>
    <w:rsid w:val="12C81DAF"/>
    <w:rsid w:val="14BE5986"/>
    <w:rsid w:val="16777BD5"/>
    <w:rsid w:val="181565E3"/>
    <w:rsid w:val="1A4C7ADD"/>
    <w:rsid w:val="1BBB11A0"/>
    <w:rsid w:val="20D46011"/>
    <w:rsid w:val="21C51012"/>
    <w:rsid w:val="24A53812"/>
    <w:rsid w:val="25AF3D08"/>
    <w:rsid w:val="2AA94975"/>
    <w:rsid w:val="2D0C791F"/>
    <w:rsid w:val="2F7470EF"/>
    <w:rsid w:val="322878C6"/>
    <w:rsid w:val="325C28A5"/>
    <w:rsid w:val="32FE6C00"/>
    <w:rsid w:val="33AB0665"/>
    <w:rsid w:val="37F64873"/>
    <w:rsid w:val="38B31DD5"/>
    <w:rsid w:val="3B3B7B63"/>
    <w:rsid w:val="400F3C72"/>
    <w:rsid w:val="43AC5065"/>
    <w:rsid w:val="46324066"/>
    <w:rsid w:val="47827D74"/>
    <w:rsid w:val="49D37593"/>
    <w:rsid w:val="50FD2BDF"/>
    <w:rsid w:val="52AB699C"/>
    <w:rsid w:val="530919AE"/>
    <w:rsid w:val="55522C02"/>
    <w:rsid w:val="57151B45"/>
    <w:rsid w:val="5BFD48F3"/>
    <w:rsid w:val="5D594705"/>
    <w:rsid w:val="62F77813"/>
    <w:rsid w:val="631D7963"/>
    <w:rsid w:val="633B047E"/>
    <w:rsid w:val="640F07F1"/>
    <w:rsid w:val="6D4062D5"/>
    <w:rsid w:val="6E3C0EBD"/>
    <w:rsid w:val="6EEC35AF"/>
    <w:rsid w:val="6F255C0E"/>
    <w:rsid w:val="71767646"/>
    <w:rsid w:val="72E93A73"/>
    <w:rsid w:val="79D00D7E"/>
    <w:rsid w:val="7A9B3740"/>
    <w:rsid w:val="7AAC47B1"/>
    <w:rsid w:val="7B311871"/>
    <w:rsid w:val="7C9A1138"/>
    <w:rsid w:val="7E4664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utlineLvl w:val="0"/>
    </w:pPr>
    <w:rPr>
      <w:rFonts w:ascii="宋体" w:hAnsi="宋体"/>
      <w:b/>
      <w:sz w:val="28"/>
    </w:rPr>
  </w:style>
  <w:style w:type="paragraph" w:styleId="3">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6">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rPr>
      <w:szCs w:val="22"/>
    </w:rPr>
  </w:style>
  <w:style w:type="paragraph" w:styleId="5">
    <w:name w:val="Body Text"/>
    <w:basedOn w:val="1"/>
    <w:next w:val="6"/>
    <w:autoRedefine/>
    <w:qFormat/>
    <w:uiPriority w:val="0"/>
    <w:pPr>
      <w:spacing w:line="0" w:lineRule="atLeast"/>
    </w:pPr>
    <w:rPr>
      <w:sz w:val="30"/>
      <w:szCs w:val="20"/>
    </w:rPr>
  </w:style>
  <w:style w:type="paragraph" w:styleId="6">
    <w:name w:val="toc 8"/>
    <w:basedOn w:val="1"/>
    <w:next w:val="1"/>
    <w:autoRedefine/>
    <w:qFormat/>
    <w:uiPriority w:val="0"/>
    <w:pPr>
      <w:ind w:left="1400" w:leftChars="1400"/>
    </w:pPr>
    <w:rPr>
      <w:rFonts w:ascii="Calibri" w:hAnsi="Calibri"/>
      <w:szCs w:val="22"/>
    </w:rPr>
  </w:style>
  <w:style w:type="paragraph" w:styleId="7">
    <w:name w:val="Plain Text"/>
    <w:basedOn w:val="1"/>
    <w:next w:val="8"/>
    <w:autoRedefine/>
    <w:qFormat/>
    <w:uiPriority w:val="0"/>
    <w:pPr>
      <w:spacing w:beforeLines="50" w:afterLines="50" w:line="400" w:lineRule="exact"/>
    </w:pPr>
    <w:rPr>
      <w:rFonts w:ascii="宋体" w:hAnsi="Courier New"/>
      <w:sz w:val="24"/>
    </w:rPr>
  </w:style>
  <w:style w:type="paragraph" w:customStyle="1" w:styleId="8">
    <w:name w:val="密级编号"/>
    <w:basedOn w:val="1"/>
    <w:next w:val="4"/>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9">
    <w:name w:val="footer"/>
    <w:basedOn w:val="1"/>
    <w:autoRedefine/>
    <w:qFormat/>
    <w:uiPriority w:val="0"/>
    <w:pPr>
      <w:tabs>
        <w:tab w:val="center" w:pos="4153"/>
        <w:tab w:val="right" w:pos="8306"/>
      </w:tabs>
      <w:snapToGrid w:val="0"/>
      <w:jc w:val="left"/>
    </w:pPr>
    <w:rPr>
      <w:sz w:val="18"/>
      <w:szCs w:val="18"/>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2"/>
    <w:basedOn w:val="1"/>
    <w:autoRedefine/>
    <w:qFormat/>
    <w:uiPriority w:val="0"/>
    <w:pPr>
      <w:widowControl/>
      <w:jc w:val="center"/>
    </w:pPr>
    <w:rPr>
      <w:rFonts w:ascii="黑体" w:eastAsia="黑体"/>
      <w:b/>
      <w:kern w:val="0"/>
      <w:sz w:val="52"/>
      <w:szCs w:val="20"/>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3">
    <w:name w:val="Body Text First Indent"/>
    <w:basedOn w:val="5"/>
    <w:next w:val="1"/>
    <w:autoRedefine/>
    <w:qFormat/>
    <w:uiPriority w:val="0"/>
    <w:pPr>
      <w:ind w:firstLine="100" w:firstLineChars="100"/>
    </w:pPr>
    <w:rPr>
      <w:sz w:val="21"/>
    </w:rPr>
  </w:style>
  <w:style w:type="table" w:styleId="15">
    <w:name w:val="Table Grid"/>
    <w:basedOn w:val="14"/>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character" w:styleId="18">
    <w:name w:val="Hyperlink"/>
    <w:basedOn w:val="16"/>
    <w:autoRedefine/>
    <w:unhideWhenUsed/>
    <w:qFormat/>
    <w:uiPriority w:val="99"/>
    <w:rPr>
      <w:color w:val="0563C1" w:themeColor="hyperlink"/>
      <w:u w:val="single"/>
      <w14:textFill>
        <w14:solidFill>
          <w14:schemeClr w14:val="hlink"/>
        </w14:solidFill>
      </w14:textFill>
    </w:rPr>
  </w:style>
  <w:style w:type="paragraph" w:customStyle="1" w:styleId="19">
    <w:name w:val="_Style 1"/>
    <w:autoRedefine/>
    <w:qFormat/>
    <w:uiPriority w:val="0"/>
    <w:rPr>
      <w:rFonts w:ascii="Times New Roman" w:hAnsi="Times New Roman" w:eastAsia="宋体" w:cs="Times New Roman"/>
      <w:kern w:val="2"/>
      <w:sz w:val="28"/>
      <w:szCs w:val="22"/>
      <w:lang w:val="en-US" w:eastAsia="zh-CN" w:bidi="ar-SA"/>
    </w:rPr>
  </w:style>
  <w:style w:type="paragraph" w:customStyle="1" w:styleId="20">
    <w:name w:val="Normal Indent"/>
    <w:basedOn w:val="1"/>
    <w:autoRedefine/>
    <w:qFormat/>
    <w:uiPriority w:val="0"/>
    <w:pPr>
      <w:ind w:firstLine="420"/>
    </w:pPr>
    <w:rPr>
      <w:szCs w:val="20"/>
    </w:rPr>
  </w:style>
  <w:style w:type="paragraph" w:customStyle="1" w:styleId="21">
    <w:name w:val="Plain Text"/>
    <w:basedOn w:val="1"/>
    <w:autoRedefine/>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8891</Words>
  <Characters>9143</Characters>
  <Lines>0</Lines>
  <Paragraphs>0</Paragraphs>
  <TotalTime>46</TotalTime>
  <ScaleCrop>false</ScaleCrop>
  <LinksUpToDate>false</LinksUpToDate>
  <CharactersWithSpaces>9757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HSM</cp:lastModifiedBy>
  <cp:lastPrinted>2024-09-10T02:29:00Z</cp:lastPrinted>
  <dcterms:modified xsi:type="dcterms:W3CDTF">2024-09-11T02:16:00Z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6D6DF5FB3B2E42C6857F0F897C187ACC_13</vt:lpwstr>
  </property>
</Properties>
</file>