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88E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247085674"/>
      <w:bookmarkStart w:id="2" w:name="_Toc246996160"/>
      <w:bookmarkStart w:id="3" w:name="_Toc246996903"/>
      <w:bookmarkStart w:id="4" w:name="_Toc144974482"/>
      <w:bookmarkStart w:id="5" w:name="_Toc449509649"/>
      <w:bookmarkStart w:id="6" w:name="_Toc152042290"/>
      <w:bookmarkStart w:id="7" w:name="_Toc15204551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生态酒店网球场膜结构采购项目</w:t>
          </w:r>
        </w:sdtContent>
      </w:sdt>
    </w:p>
    <w:p w14:paraId="68B66C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603E1345">
      <w:pPr>
        <w:pStyle w:val="14"/>
        <w:numPr>
          <w:ilvl w:val="0"/>
          <w:numId w:val="0"/>
        </w:numPr>
        <w:spacing w:after="0"/>
        <w:jc w:val="both"/>
        <w:rPr>
          <w:rFonts w:hint="eastAsia" w:ascii="仿宋" w:hAnsi="仿宋" w:eastAsia="仿宋" w:cs="仿宋"/>
          <w:sz w:val="32"/>
          <w:szCs w:val="32"/>
          <w:highlight w:val="none"/>
          <w:vertAlign w:val="baseline"/>
          <w:lang w:val="en-US" w:eastAsia="zh-CN"/>
        </w:rPr>
      </w:pPr>
    </w:p>
    <w:p w14:paraId="4009903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2024-W-085-下01  </w:t>
      </w:r>
    </w:p>
    <w:p w14:paraId="3CF741AA">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B90BD5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7D31410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5A2F427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b w:val="0"/>
          <w:bCs w:val="0"/>
          <w:sz w:val="32"/>
          <w:szCs w:val="32"/>
          <w:highlight w:val="none"/>
          <w:u w:val="single"/>
          <w:vertAlign w:val="baseline"/>
          <w:lang w:val="en-US" w:eastAsia="zh-CN"/>
        </w:rPr>
        <w:t>浙江金业管理咨询有限公司 （盖章）</w:t>
      </w:r>
    </w:p>
    <w:p w14:paraId="76AC29A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B39C0F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35B8CF6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B8B832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8A53AF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CBB80A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A534E0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6693D1A">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CFFC34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381346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1A1AEB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A84000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3848F8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ED520E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3EA668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59040F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448C481">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6BDED22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752F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C323E1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6C96F1E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4A90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2292C3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1603DA5E">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生态酒店网球场膜结构采购项目</w:t>
                </w:r>
              </w:sdtContent>
            </w:sdt>
            <w:bookmarkEnd w:id="8"/>
          </w:p>
        </w:tc>
      </w:tr>
      <w:tr w14:paraId="3BE6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C7393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76C52B1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yellow"/>
                <w:vertAlign w:val="baseline"/>
                <w:lang w:val="en-US" w:eastAsia="zh-CN"/>
              </w:rPr>
              <w:t>湖州南浔城投资产经营集团有限公司</w:t>
            </w:r>
          </w:p>
        </w:tc>
      </w:tr>
      <w:tr w14:paraId="22C2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D16AA1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AA9778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660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57A45D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53444F7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528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FED13D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224A33CB">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3F292D8E">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1466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AEEF72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540CDD4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钢结构膜结构采购及安装</w:t>
            </w:r>
          </w:p>
        </w:tc>
      </w:tr>
      <w:tr w14:paraId="5050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3AD651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77460DE">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中标后立即排产，2025年1月25日前钢网架结构工厂制作完成，膜结构材料就位。2月12日前开始现场吊装，2月底主体钢结构及膜结构安装完成并具备室内装修条件，3月15日前完成全部合同内容</w:t>
                </w:r>
              </w:sdtContent>
            </w:sdt>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4AE6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C19524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5054932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本项目采用折扣报价，竞包人的折扣最高限价为：75%</w:t>
            </w:r>
          </w:p>
        </w:tc>
      </w:tr>
      <w:tr w14:paraId="76C3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395348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03FBEFA3">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9"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湖州市南浔区生态酒店旁（招标人指定地点）</w:t>
                </w:r>
              </w:sdtContent>
            </w:sdt>
            <w:bookmarkEnd w:id="9"/>
          </w:p>
        </w:tc>
      </w:tr>
      <w:tr w14:paraId="7D3A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348111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sz w:val="28"/>
              <w:szCs w:val="28"/>
              <w:highlight w:val="none"/>
              <w:vertAlign w:val="baseline"/>
              <w:lang w:val="en-US" w:eastAsia="zh-CN"/>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0EDC0BD4">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网球场钢结构膜结构所需货物采购及安装，包括钢结构、预埋件、膜结构等，具体详见施工图纸，本招标文件后附清单作为参考。最终以招标人及业主单位要求为准，直至本工程满足功能性要求及设计单位、业主单位要求并竣工验收合格为止。</w:t>
                </w:r>
              </w:p>
            </w:tc>
          </w:sdtContent>
        </w:sdt>
      </w:tr>
      <w:tr w14:paraId="05A5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7A3C18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3FC48E74">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无</w:t>
            </w:r>
          </w:p>
        </w:tc>
      </w:tr>
      <w:tr w14:paraId="04AB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108553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49F70D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1A8B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1E9757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07630C4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3C7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7" w:type="dxa"/>
            <w:noWrap w:val="0"/>
            <w:vAlign w:val="center"/>
          </w:tcPr>
          <w:p w14:paraId="5513136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025AFA1A">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20万元</w:t>
            </w:r>
            <w:r>
              <w:rPr>
                <w:rFonts w:hint="eastAsia" w:ascii="仿宋_GB2312" w:hAnsi="仿宋_GB2312" w:eastAsia="仿宋_GB2312" w:cs="仿宋_GB2312"/>
                <w:sz w:val="28"/>
                <w:szCs w:val="28"/>
                <w:highlight w:val="none"/>
                <w:lang w:val="en-US" w:eastAsia="zh-CN"/>
              </w:rPr>
              <w:t>履约保证金，其中10万元作为工期履约保证金，每延期一天完成扣罚2万元，工期履约保证金不足扣罚的在工程款中进行扣除</w:t>
            </w:r>
            <w:r>
              <w:rPr>
                <w:rFonts w:hint="eastAsia" w:ascii="仿宋_GB2312" w:hAnsi="仿宋_GB2312" w:eastAsia="仿宋_GB2312" w:cs="仿宋_GB2312"/>
                <w:sz w:val="28"/>
                <w:szCs w:val="28"/>
                <w:highlight w:val="none"/>
                <w:lang w:val="en-US" w:eastAsia="zh-Hans"/>
              </w:rPr>
              <w:t>。</w:t>
            </w:r>
          </w:p>
        </w:tc>
      </w:tr>
      <w:tr w14:paraId="4834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19C58E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6C7D056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52D4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5A3ABC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3179606F">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kern w:val="0"/>
                    <w:sz w:val="28"/>
                    <w:szCs w:val="28"/>
                    <w:highlight w:val="yellow"/>
                    <w:lang w:val="en-US" w:eastAsia="zh-CN" w:bidi="ar-SA"/>
                  </w:rPr>
                  <w:t>经招标人确认钢结构确已排产后支付30万元，钢结构加工完成经招标人确认具备吊装条件后支付70万元，膜结构备货完成经招标人确认后支付20万元，主体钢结构及膜结构安装完成并具备室内装修条件支付150万元（工人工资应按照公司规定打卡考勤并优先支付，否则招标人有权不予支付），合同内容全部完成并提交竣工结算后支付40万元（工人工资应按照公司规定打卡考勤并优先支付，否则招标人有权不予支付）。工程审计完成后5日内完成最终结算，支付至最终结算总金额的95%，支付时须提供工程结算金额100%的进项发票，否则公司有权不予付款；尾款待保修期全部满后付清（无息）。</w:t>
                </w:r>
              </w:p>
            </w:tc>
          </w:sdtContent>
        </w:sdt>
      </w:tr>
      <w:tr w14:paraId="3425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0CC62DD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409C6949">
            <w:pPr>
              <w:pStyle w:val="14"/>
              <w:keepNext w:val="0"/>
              <w:keepLines w:val="0"/>
              <w:pageBreakBefore w:val="0"/>
              <w:widowControl w:val="0"/>
              <w:numPr>
                <w:ilvl w:val="0"/>
                <w:numId w:val="1"/>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none"/>
                <w:lang w:val="en-US" w:eastAsia="zh-CN"/>
              </w:rPr>
              <w:t>工程完工后由招标人委托第三方审计机构对中标人的结算进行审计，最终结算价计算方式为：（招标人确认的结算审计价-甲供材对应的款项）×(1-中标下浮率)-其他扣款，其他扣款包括但不限于投标费用、围挡建设费、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sz w:val="28"/>
                <w:szCs w:val="28"/>
                <w:highlight w:val="yellow"/>
                <w:lang w:val="en-US" w:eastAsia="zh-CN"/>
              </w:rPr>
              <w:t>最终结算价如高于553万元，则按照553万元进行结算。</w:t>
            </w:r>
          </w:p>
          <w:p w14:paraId="1C06E665">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可</w:t>
            </w:r>
            <w:r>
              <w:rPr>
                <w:rFonts w:hint="default" w:ascii="仿宋_GB2312" w:hAnsi="仿宋_GB2312" w:eastAsia="仿宋_GB2312" w:cs="仿宋_GB2312"/>
                <w:color w:val="auto"/>
                <w:sz w:val="28"/>
                <w:szCs w:val="28"/>
                <w:highlight w:val="none"/>
                <w:lang w:eastAsia="zh-CN"/>
              </w:rPr>
              <w:t>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3E722F3A">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w:t>
            </w:r>
            <w:r>
              <w:rPr>
                <w:rFonts w:hint="eastAsia" w:ascii="仿宋_GB2312" w:hAnsi="仿宋_GB2312" w:eastAsia="仿宋_GB2312" w:cs="仿宋_GB2312"/>
                <w:color w:val="auto"/>
                <w:sz w:val="28"/>
                <w:szCs w:val="28"/>
                <w:highlight w:val="none"/>
                <w:lang w:val="en-US" w:eastAsia="zh-CN"/>
              </w:rPr>
              <w:t>中标人原因导致</w:t>
            </w:r>
            <w:r>
              <w:rPr>
                <w:rFonts w:hint="default" w:ascii="仿宋_GB2312" w:hAnsi="仿宋_GB2312" w:eastAsia="仿宋_GB2312" w:cs="仿宋_GB2312"/>
                <w:color w:val="auto"/>
                <w:sz w:val="28"/>
                <w:szCs w:val="28"/>
                <w:highlight w:val="none"/>
                <w:lang w:eastAsia="zh-CN"/>
              </w:rPr>
              <w:t>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tc>
      </w:tr>
    </w:tbl>
    <w:p w14:paraId="6A246DE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80"/>
      </w:tblGrid>
      <w:tr w14:paraId="2B61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5A4C04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104A2D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5FDF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204CD77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086C2CF7">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en-US" w:eastAsia="zh-CN"/>
              </w:rPr>
              <w:t>钢结构</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14:paraId="494E4292">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钢结构专业承包资质 </w:t>
            </w:r>
            <w:r>
              <w:rPr>
                <w:rFonts w:hint="eastAsia" w:ascii="仿宋_GB2312" w:hAnsi="仿宋_GB2312" w:eastAsia="仿宋_GB2312" w:cs="仿宋_GB2312"/>
                <w:sz w:val="28"/>
                <w:szCs w:val="28"/>
                <w:highlight w:val="none"/>
                <w:u w:val="none"/>
                <w:vertAlign w:val="baseline"/>
                <w:lang w:val="en-US" w:eastAsia="zh-CN"/>
              </w:rPr>
              <w:t>。</w:t>
            </w:r>
          </w:p>
          <w:p w14:paraId="1AD23D3D">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r>
              <w:rPr>
                <w:rFonts w:hint="default" w:ascii="仿宋_GB2312" w:hAnsi="仿宋_GB2312" w:eastAsia="仿宋_GB2312" w:cs="仿宋_GB2312"/>
                <w:i w:val="0"/>
                <w:iCs w:val="0"/>
                <w:caps w:val="0"/>
                <w:color w:val="000000"/>
                <w:spacing w:val="0"/>
                <w:sz w:val="28"/>
                <w:szCs w:val="28"/>
                <w:highlight w:val="none"/>
                <w:shd w:val="clear"/>
              </w:rPr>
              <w:t>本</w:t>
            </w:r>
            <w:r>
              <w:rPr>
                <w:rFonts w:hint="default" w:ascii="仿宋_GB2312" w:hAnsi="仿宋_GB2312" w:eastAsia="仿宋_GB2312" w:cs="仿宋_GB2312"/>
                <w:i w:val="0"/>
                <w:iCs w:val="0"/>
                <w:caps w:val="0"/>
                <w:spacing w:val="0"/>
                <w:sz w:val="28"/>
                <w:szCs w:val="28"/>
                <w:highlight w:val="none"/>
                <w:u w:val="none"/>
                <w:shd w:val="clear"/>
              </w:rPr>
              <w:t>项目拒绝接受被录入检察机关行贿犯罪档案的投标人；拒绝被有关行政监管部门通报限制投标且在限制期内的投标人</w:t>
            </w:r>
            <w:r>
              <w:rPr>
                <w:rFonts w:hint="default" w:ascii="仿宋_GB2312" w:hAnsi="仿宋_GB2312" w:eastAsia="仿宋_GB2312" w:cs="仿宋_GB2312"/>
                <w:i w:val="0"/>
                <w:iCs w:val="0"/>
                <w:caps w:val="0"/>
                <w:spacing w:val="0"/>
                <w:sz w:val="28"/>
                <w:szCs w:val="28"/>
                <w:highlight w:val="none"/>
                <w:u w:val="none"/>
                <w:shd w:val="clear"/>
                <w:lang w:val="en-US" w:eastAsia="zh-CN"/>
              </w:rPr>
              <w:t>。</w:t>
            </w:r>
          </w:p>
        </w:tc>
      </w:tr>
      <w:tr w14:paraId="3D1B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620362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F1F3B31">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lang w:val="en-US" w:eastAsia="zh-CN"/>
              </w:rPr>
              <w:t>无</w:t>
            </w:r>
          </w:p>
        </w:tc>
      </w:tr>
      <w:tr w14:paraId="22C9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40FBFA3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1027D4D2">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yellow"/>
                <w:u w:val="single"/>
                <w:lang w:val="en-US" w:eastAsia="zh-CN"/>
              </w:rPr>
            </w:pPr>
            <w:r>
              <w:rPr>
                <w:rFonts w:hint="eastAsia" w:ascii="仿宋_GB2312" w:hAnsi="仿宋_GB2312" w:eastAsia="仿宋_GB2312" w:cs="仿宋_GB2312"/>
                <w:sz w:val="28"/>
                <w:szCs w:val="28"/>
                <w:highlight w:val="yellow"/>
                <w:u w:val="single"/>
                <w:lang w:val="en-US" w:eastAsia="zh-CN"/>
              </w:rPr>
              <w:t>控制价（基础下浮率）为25%，（即75%折扣），投标报价不得小于控制价，否则作为废标处理（如投标报价下浮率0-24.99%则为废标）。</w:t>
            </w:r>
          </w:p>
          <w:p w14:paraId="7B2A92F4">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yellow"/>
                <w:lang w:val="en-US" w:eastAsia="zh-CN"/>
              </w:rPr>
              <w:t>注：工地围挡建设费用由招标人先行垫付，最终按招标人支出费用由本项目土建、地面及围网、钢结构膜结构3家参建单位按照各自工程量比例进行分摊。</w:t>
            </w:r>
          </w:p>
        </w:tc>
      </w:tr>
      <w:tr w14:paraId="22E9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5DB1A7A">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6C9534E0">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5CA965B3">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5E88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631B927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60832ED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sz w:val="28"/>
                <w:szCs w:val="28"/>
                <w:highlight w:val="red"/>
                <w:u w:val="single"/>
              </w:rPr>
              <w:t xml:space="preserve"> 19754 </w:t>
            </w:r>
            <w:r>
              <w:rPr>
                <w:rFonts w:hint="eastAsia" w:ascii="仿宋_GB2312" w:hAnsi="仿宋_GB2312" w:eastAsia="仿宋_GB2312" w:cs="仿宋_GB2312"/>
                <w:b/>
                <w:bCs/>
                <w:color w:val="auto"/>
                <w:sz w:val="28"/>
                <w:szCs w:val="28"/>
                <w:highlight w:val="none"/>
                <w:lang w:val="en-US" w:eastAsia="zh-CN"/>
              </w:rPr>
              <w:t>元，由中标单位承担。</w:t>
            </w:r>
          </w:p>
        </w:tc>
      </w:tr>
    </w:tbl>
    <w:p w14:paraId="743A815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7739"/>
      </w:tblGrid>
      <w:tr w14:paraId="37E8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top"/>
          </w:tcPr>
          <w:p w14:paraId="470AD24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14:paraId="0D24E3B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ECE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1681C58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14:paraId="196CEB64">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0"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0"/>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01D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5E98EB7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14:paraId="7754F75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p w14:paraId="0303F5D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浙江金业管理咨询有限公司：徐而侃 0572-2557283</w:t>
            </w:r>
          </w:p>
        </w:tc>
      </w:tr>
      <w:tr w14:paraId="3D80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7C27A31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14:paraId="53B57DB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547C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2C30885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14:paraId="6C12528E">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0604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14:paraId="74BC4DF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14:paraId="312F063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资格部分</w:t>
            </w:r>
          </w:p>
        </w:tc>
      </w:tr>
      <w:tr w14:paraId="30F7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8F61AC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E97283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1、工商营业执照复印件</w:t>
            </w:r>
          </w:p>
        </w:tc>
      </w:tr>
      <w:tr w14:paraId="35DE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8685F5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F88BB2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2、资质证书复印件、安全生产许可证复印件</w:t>
            </w:r>
          </w:p>
        </w:tc>
      </w:tr>
      <w:tr w14:paraId="3947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9432DA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F47FCA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3、法定代表人身份证明</w:t>
            </w:r>
          </w:p>
        </w:tc>
      </w:tr>
      <w:tr w14:paraId="176A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0AE625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80C37E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4、法定代表人授权委托书</w:t>
            </w:r>
          </w:p>
        </w:tc>
      </w:tr>
      <w:tr w14:paraId="1499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7A7AFF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3A906DB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5、《廉洁自律承诺书》</w:t>
            </w:r>
          </w:p>
        </w:tc>
      </w:tr>
      <w:tr w14:paraId="7F6A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B5FB98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3FE22F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6、《不参与围标串标承诺书》</w:t>
            </w:r>
          </w:p>
        </w:tc>
      </w:tr>
      <w:tr w14:paraId="3B89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B5CE12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6FB107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7、公司基本账户开户证明及账号信息（开户许可证或银行基本存款账户开户信息）</w:t>
            </w:r>
          </w:p>
        </w:tc>
      </w:tr>
      <w:tr w14:paraId="4BD8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348C72E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C533C5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技术部分</w:t>
            </w:r>
          </w:p>
        </w:tc>
      </w:tr>
      <w:tr w14:paraId="188B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89EACC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5849A9A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8、服务方案</w:t>
            </w:r>
          </w:p>
        </w:tc>
      </w:tr>
      <w:tr w14:paraId="7DFD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62F0B24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7ABBA6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9、重点难点分析</w:t>
            </w:r>
          </w:p>
        </w:tc>
      </w:tr>
      <w:tr w14:paraId="0A2E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9F2438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5731070A">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10、安全文明保障方案</w:t>
            </w:r>
          </w:p>
        </w:tc>
      </w:tr>
      <w:tr w14:paraId="69E1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8EB536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7CBFAB7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11、管理制度</w:t>
            </w:r>
          </w:p>
        </w:tc>
      </w:tr>
      <w:tr w14:paraId="2F6D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71218CC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BEFEE6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12、编制措施</w:t>
            </w:r>
          </w:p>
        </w:tc>
      </w:tr>
      <w:tr w14:paraId="0B7D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0C7E056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7E4D770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13、服务保障</w:t>
            </w:r>
          </w:p>
        </w:tc>
      </w:tr>
      <w:tr w14:paraId="54F6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2BAC327">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96A9C6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14、应急保障措施</w:t>
            </w:r>
          </w:p>
        </w:tc>
      </w:tr>
      <w:tr w14:paraId="1DA1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210E3D3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0C31E7F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报价部分</w:t>
            </w:r>
          </w:p>
        </w:tc>
      </w:tr>
      <w:tr w14:paraId="4C8D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52219A9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2908C3D9">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15、投标函</w:t>
            </w:r>
          </w:p>
        </w:tc>
      </w:tr>
      <w:tr w14:paraId="40AE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1FC3EFF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0250CB8">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16、投标人认为需要提供的其它资料</w:t>
            </w:r>
          </w:p>
        </w:tc>
      </w:tr>
      <w:tr w14:paraId="198D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14:paraId="1CB047CF">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14:paraId="1474120C">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4CA8F486">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33D110C0">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14:paraId="3BD3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14:paraId="1677A215">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14:paraId="7AE2B906">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61BF9C63">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0D6D83D1">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0FDCA64D">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13B1DC3">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4F63D366">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513B252D">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388DA042">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7C75888E">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187BDD15">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77E317B5">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10.投标报价超出招标控制价折扣上限的；</w:t>
            </w:r>
          </w:p>
          <w:p w14:paraId="22868320">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51C047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2DAE36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62900D1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3CACF6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5D1F51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43A038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投标人的最终得分=报价得分+技术标得分</w:t>
      </w:r>
    </w:p>
    <w:p w14:paraId="5D47AA5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报价评定</w:t>
      </w:r>
      <w:r>
        <w:rPr>
          <w:rFonts w:hint="eastAsia" w:ascii="仿宋_GB2312" w:hAnsi="仿宋_GB2312" w:eastAsia="仿宋_GB2312" w:cs="仿宋_GB2312"/>
          <w:b/>
          <w:bCs/>
          <w:color w:val="0000FF"/>
          <w:sz w:val="28"/>
          <w:szCs w:val="28"/>
          <w:highlight w:val="none"/>
          <w:lang w:val="en-US" w:eastAsia="zh-CN"/>
        </w:rPr>
        <w:t>（按折扣计算）</w:t>
      </w:r>
    </w:p>
    <w:p w14:paraId="5447BC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本工程报价总分70分，按以下标准评定。</w:t>
      </w:r>
    </w:p>
    <w:p w14:paraId="2E845B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highlight w:val="yellow"/>
          <w:lang w:val="en-US" w:eastAsia="zh-CN"/>
        </w:rPr>
        <w:t>有效报价：凡有效投标报价高于平均报价（平均报价的计算方法为所有有效投标报价去掉一个最高和一个最低报价后的算术平均价，当有效投标报价在3家及以下时，平均报价的计算方法为全部有效投标报价的算术平均值）8％及以上，称为有效低价报价，剩余的统称为有效合理报价。</w:t>
      </w:r>
    </w:p>
    <w:p w14:paraId="4E8E4A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A签：有效合理报价的平均值与次低值的平均值</w:t>
      </w:r>
    </w:p>
    <w:p w14:paraId="7F6C76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B签：有效合理报价的平均值与最低值的平均值</w:t>
      </w:r>
    </w:p>
    <w:p w14:paraId="4966B3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C签：有效合理报价的次低值</w:t>
      </w:r>
    </w:p>
    <w:p w14:paraId="53447F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D签：有效合理报价的最低值</w:t>
      </w:r>
    </w:p>
    <w:p w14:paraId="6211C8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562D60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K=（有效合理报价—最佳报价）/最佳报价*100% </w:t>
      </w:r>
    </w:p>
    <w:p w14:paraId="096DA0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当K值等于零时，得100分；　　</w:t>
      </w:r>
    </w:p>
    <w:p w14:paraId="6B0ECD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当K值大于零时，K值每增1%，在总分上扣</w:t>
      </w:r>
      <w:r>
        <w:rPr>
          <w:rFonts w:hint="eastAsia" w:ascii="仿宋_GB2312" w:hAnsi="仿宋_GB2312" w:eastAsia="仿宋_GB2312" w:cs="仿宋_GB2312"/>
          <w:sz w:val="28"/>
          <w:szCs w:val="28"/>
          <w:lang w:val="en-US" w:eastAsia="zh-CN" w:bidi="ar"/>
        </w:rPr>
        <w:t>0.4</w:t>
      </w:r>
      <w:r>
        <w:rPr>
          <w:rFonts w:hint="eastAsia" w:ascii="仿宋_GB2312" w:hAnsi="仿宋_GB2312" w:eastAsia="仿宋_GB2312" w:cs="仿宋_GB2312"/>
          <w:sz w:val="28"/>
          <w:szCs w:val="28"/>
          <w:lang w:bidi="ar"/>
        </w:rPr>
        <w:t>分；　　</w:t>
      </w:r>
    </w:p>
    <w:p w14:paraId="440DF1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当K值小于零时，K值每减1%，在总分上扣</w:t>
      </w:r>
      <w:r>
        <w:rPr>
          <w:rFonts w:hint="eastAsia" w:ascii="仿宋_GB2312" w:hAnsi="仿宋_GB2312" w:eastAsia="仿宋_GB2312" w:cs="仿宋_GB2312"/>
          <w:sz w:val="28"/>
          <w:szCs w:val="28"/>
          <w:lang w:val="en-US" w:eastAsia="zh-CN" w:bidi="ar"/>
        </w:rPr>
        <w:t>0.8</w:t>
      </w:r>
      <w:r>
        <w:rPr>
          <w:rFonts w:hint="eastAsia" w:ascii="仿宋_GB2312" w:hAnsi="仿宋_GB2312" w:eastAsia="仿宋_GB2312" w:cs="仿宋_GB2312"/>
          <w:sz w:val="28"/>
          <w:szCs w:val="28"/>
          <w:lang w:bidi="ar"/>
        </w:rPr>
        <w:t>分</w:t>
      </w:r>
      <w:r>
        <w:rPr>
          <w:rFonts w:hint="eastAsia" w:ascii="仿宋_GB2312" w:hAnsi="仿宋_GB2312" w:eastAsia="仿宋_GB2312" w:cs="仿宋_GB2312"/>
          <w:sz w:val="28"/>
          <w:szCs w:val="28"/>
          <w:lang w:val="en-US" w:eastAsia="zh-CN"/>
        </w:rPr>
        <w:t>；</w:t>
      </w:r>
    </w:p>
    <w:p w14:paraId="73CBF2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各投标班组最终价格得分=报价得分×</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0%</w:t>
      </w:r>
      <w:r>
        <w:rPr>
          <w:rFonts w:hint="eastAsia" w:ascii="仿宋_GB2312" w:hAnsi="仿宋_GB2312" w:eastAsia="仿宋_GB2312" w:cs="仿宋_GB2312"/>
          <w:sz w:val="28"/>
          <w:szCs w:val="28"/>
          <w:lang w:eastAsia="zh-CN" w:bidi="ar"/>
        </w:rPr>
        <w:t>。</w:t>
      </w:r>
    </w:p>
    <w:p w14:paraId="3BC4EF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03C418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47C4D5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cyan"/>
          <w:lang w:val="en-US" w:eastAsia="zh-CN"/>
        </w:rPr>
        <w:t>技术标得分。</w:t>
      </w:r>
      <w:r>
        <w:rPr>
          <w:rFonts w:hint="eastAsia" w:ascii="仿宋_GB2312" w:hAnsi="仿宋_GB2312" w:eastAsia="仿宋_GB2312" w:cs="仿宋_GB2312"/>
          <w:sz w:val="28"/>
          <w:szCs w:val="28"/>
          <w:lang w:val="en-US" w:eastAsia="zh-CN"/>
        </w:rPr>
        <w:t>技术标总分30分，按以下标准评定。</w:t>
      </w:r>
    </w:p>
    <w:tbl>
      <w:tblPr>
        <w:tblStyle w:val="15"/>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28"/>
        <w:gridCol w:w="6208"/>
        <w:gridCol w:w="948"/>
      </w:tblGrid>
      <w:tr w14:paraId="7A22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5" w:type="dxa"/>
            <w:tcBorders>
              <w:bottom w:val="single" w:color="auto" w:sz="4" w:space="0"/>
            </w:tcBorders>
            <w:noWrap w:val="0"/>
            <w:vAlign w:val="center"/>
          </w:tcPr>
          <w:p w14:paraId="1119008D">
            <w:pPr>
              <w:spacing w:line="500" w:lineRule="exact"/>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序号</w:t>
            </w:r>
          </w:p>
        </w:tc>
        <w:tc>
          <w:tcPr>
            <w:tcW w:w="8336" w:type="dxa"/>
            <w:gridSpan w:val="2"/>
            <w:tcBorders>
              <w:bottom w:val="single" w:color="auto" w:sz="4" w:space="0"/>
            </w:tcBorders>
            <w:noWrap w:val="0"/>
            <w:vAlign w:val="center"/>
          </w:tcPr>
          <w:p w14:paraId="6814F12B">
            <w:pP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评分内容</w:t>
            </w:r>
          </w:p>
        </w:tc>
        <w:tc>
          <w:tcPr>
            <w:tcW w:w="948" w:type="dxa"/>
            <w:tcBorders>
              <w:bottom w:val="single" w:color="auto" w:sz="4" w:space="0"/>
            </w:tcBorders>
            <w:noWrap w:val="0"/>
            <w:vAlign w:val="center"/>
          </w:tcPr>
          <w:p w14:paraId="7735C931">
            <w:pPr>
              <w:spacing w:line="500" w:lineRule="exact"/>
              <w:rPr>
                <w:rFonts w:hint="eastAsia" w:ascii="仿宋" w:hAnsi="仿宋" w:eastAsia="仿宋" w:cs="仿宋"/>
                <w:color w:val="auto"/>
                <w:sz w:val="24"/>
                <w:szCs w:val="24"/>
                <w:highlight w:val="red"/>
              </w:rPr>
            </w:pPr>
            <w:r>
              <w:rPr>
                <w:rFonts w:hint="eastAsia" w:ascii="仿宋" w:hAnsi="仿宋" w:eastAsia="仿宋" w:cs="仿宋"/>
                <w:color w:val="auto"/>
                <w:sz w:val="24"/>
                <w:szCs w:val="24"/>
                <w:highlight w:val="red"/>
              </w:rPr>
              <w:t>最高</w:t>
            </w:r>
          </w:p>
          <w:p w14:paraId="406AD15E">
            <w:pPr>
              <w:spacing w:line="500" w:lineRule="exact"/>
              <w:rPr>
                <w:rFonts w:hint="eastAsia" w:ascii="仿宋" w:hAnsi="仿宋" w:eastAsia="仿宋" w:cs="仿宋"/>
                <w:color w:val="FF0000"/>
                <w:sz w:val="24"/>
                <w:szCs w:val="24"/>
              </w:rPr>
            </w:pPr>
            <w:r>
              <w:rPr>
                <w:rFonts w:hint="eastAsia" w:ascii="仿宋" w:hAnsi="仿宋" w:eastAsia="仿宋" w:cs="仿宋"/>
                <w:color w:val="auto"/>
                <w:sz w:val="24"/>
                <w:szCs w:val="24"/>
                <w:highlight w:val="red"/>
              </w:rPr>
              <w:t>得分</w:t>
            </w:r>
          </w:p>
        </w:tc>
      </w:tr>
      <w:tr w14:paraId="12CD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705" w:type="dxa"/>
            <w:noWrap w:val="0"/>
            <w:vAlign w:val="center"/>
          </w:tcPr>
          <w:p w14:paraId="68F48A67">
            <w:pP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red"/>
              </w:rPr>
              <w:t>1</w:t>
            </w:r>
          </w:p>
        </w:tc>
        <w:tc>
          <w:tcPr>
            <w:tcW w:w="2128" w:type="dxa"/>
            <w:noWrap w:val="0"/>
            <w:vAlign w:val="center"/>
          </w:tcPr>
          <w:p w14:paraId="295FB20B">
            <w:pPr>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服务方案</w:t>
            </w:r>
          </w:p>
        </w:tc>
        <w:tc>
          <w:tcPr>
            <w:tcW w:w="6208" w:type="dxa"/>
            <w:noWrap w:val="0"/>
            <w:vAlign w:val="center"/>
          </w:tcPr>
          <w:p w14:paraId="264135A0">
            <w:pP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red"/>
              </w:rPr>
              <w:t>服务方案从运行管理模式、实施方案等方面入手，方案合理、详细的得20分；方案欠缺或不完整的每项扣5分，扣完为止.</w:t>
            </w:r>
          </w:p>
        </w:tc>
        <w:tc>
          <w:tcPr>
            <w:tcW w:w="948" w:type="dxa"/>
            <w:noWrap w:val="0"/>
            <w:vAlign w:val="center"/>
          </w:tcPr>
          <w:p w14:paraId="0A6CA212">
            <w:pPr>
              <w:spacing w:line="500" w:lineRule="exact"/>
              <w:rPr>
                <w:rFonts w:hint="eastAsia" w:ascii="仿宋" w:hAnsi="仿宋" w:eastAsia="仿宋" w:cs="仿宋"/>
                <w:color w:val="FF0000"/>
                <w:sz w:val="24"/>
                <w:szCs w:val="24"/>
              </w:rPr>
            </w:pPr>
            <w:r>
              <w:rPr>
                <w:rFonts w:hint="eastAsia" w:ascii="仿宋" w:hAnsi="仿宋" w:eastAsia="仿宋" w:cs="仿宋"/>
                <w:color w:val="auto"/>
                <w:sz w:val="24"/>
                <w:szCs w:val="24"/>
                <w:highlight w:val="red"/>
              </w:rPr>
              <w:t>20分</w:t>
            </w:r>
          </w:p>
        </w:tc>
      </w:tr>
      <w:tr w14:paraId="6F1C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705" w:type="dxa"/>
            <w:noWrap w:val="0"/>
            <w:vAlign w:val="center"/>
          </w:tcPr>
          <w:p w14:paraId="4CBD011F">
            <w:pP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red"/>
              </w:rPr>
              <w:t>2</w:t>
            </w:r>
          </w:p>
        </w:tc>
        <w:tc>
          <w:tcPr>
            <w:tcW w:w="2128" w:type="dxa"/>
            <w:noWrap w:val="0"/>
            <w:vAlign w:val="center"/>
          </w:tcPr>
          <w:p w14:paraId="0913982E">
            <w:pPr>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重点难点分析</w:t>
            </w:r>
          </w:p>
        </w:tc>
        <w:tc>
          <w:tcPr>
            <w:tcW w:w="6208" w:type="dxa"/>
            <w:noWrap w:val="0"/>
            <w:vAlign w:val="center"/>
          </w:tcPr>
          <w:p w14:paraId="6866956D">
            <w:pP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项目重点、难点的分析和解决方案精确、全面，解决方案具有针对性和可操作性的得9-12分；重点难点分析基本合理但欠缺的得5-8分；重点难点分析存在明显缺陷的，得0-4分。</w:t>
            </w:r>
          </w:p>
        </w:tc>
        <w:tc>
          <w:tcPr>
            <w:tcW w:w="948" w:type="dxa"/>
            <w:noWrap w:val="0"/>
            <w:vAlign w:val="center"/>
          </w:tcPr>
          <w:p w14:paraId="4D927CC8">
            <w:pPr>
              <w:spacing w:line="500" w:lineRule="exact"/>
              <w:rPr>
                <w:rFonts w:hint="eastAsia" w:ascii="仿宋" w:hAnsi="仿宋" w:eastAsia="仿宋" w:cs="仿宋"/>
                <w:color w:val="FF0000"/>
                <w:sz w:val="24"/>
                <w:szCs w:val="24"/>
              </w:rPr>
            </w:pPr>
            <w:r>
              <w:rPr>
                <w:rFonts w:hint="eastAsia" w:ascii="仿宋" w:hAnsi="仿宋" w:eastAsia="仿宋" w:cs="仿宋"/>
                <w:color w:val="auto"/>
                <w:sz w:val="24"/>
                <w:szCs w:val="24"/>
                <w:highlight w:val="red"/>
              </w:rPr>
              <w:t>12分</w:t>
            </w:r>
          </w:p>
        </w:tc>
      </w:tr>
      <w:tr w14:paraId="709A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5" w:type="dxa"/>
            <w:noWrap w:val="0"/>
            <w:vAlign w:val="center"/>
          </w:tcPr>
          <w:p w14:paraId="1B060A55">
            <w:pP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red"/>
              </w:rPr>
              <w:t>3</w:t>
            </w:r>
          </w:p>
        </w:tc>
        <w:tc>
          <w:tcPr>
            <w:tcW w:w="2128" w:type="dxa"/>
            <w:noWrap w:val="0"/>
            <w:vAlign w:val="center"/>
          </w:tcPr>
          <w:p w14:paraId="3E2FB262">
            <w:pPr>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安全文明保障方案</w:t>
            </w:r>
          </w:p>
        </w:tc>
        <w:tc>
          <w:tcPr>
            <w:tcW w:w="6208" w:type="dxa"/>
            <w:noWrap w:val="0"/>
            <w:vAlign w:val="top"/>
          </w:tcPr>
          <w:p w14:paraId="2AFB1323">
            <w:pP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安全、文明施工保障措施是否符合政府部门及本项目要求，人员安全、车辆运输、项目施工过程的中各项安全文明是否均有体现、编制合理、科学、可操作性强的得8-10分，编制合理、科学、可操作性一般的得4-7分，编制合理、科学、可操作性差的得0-3分</w:t>
            </w:r>
          </w:p>
        </w:tc>
        <w:tc>
          <w:tcPr>
            <w:tcW w:w="948" w:type="dxa"/>
            <w:noWrap w:val="0"/>
            <w:vAlign w:val="center"/>
          </w:tcPr>
          <w:p w14:paraId="3A8E1309">
            <w:pPr>
              <w:spacing w:line="500" w:lineRule="exact"/>
              <w:rPr>
                <w:rFonts w:hint="eastAsia" w:ascii="仿宋" w:hAnsi="仿宋" w:eastAsia="仿宋" w:cs="仿宋"/>
                <w:color w:val="FF0000"/>
                <w:sz w:val="24"/>
                <w:szCs w:val="24"/>
              </w:rPr>
            </w:pPr>
            <w:r>
              <w:rPr>
                <w:rFonts w:hint="eastAsia" w:ascii="仿宋" w:hAnsi="仿宋" w:eastAsia="仿宋" w:cs="仿宋"/>
                <w:color w:val="auto"/>
                <w:sz w:val="24"/>
                <w:szCs w:val="24"/>
                <w:highlight w:val="red"/>
              </w:rPr>
              <w:t>10分</w:t>
            </w:r>
          </w:p>
        </w:tc>
      </w:tr>
      <w:tr w14:paraId="3CEC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5" w:type="dxa"/>
            <w:noWrap w:val="0"/>
            <w:vAlign w:val="center"/>
          </w:tcPr>
          <w:p w14:paraId="5A8261DC">
            <w:pPr>
              <w:spacing w:line="500" w:lineRule="exact"/>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red"/>
              </w:rPr>
              <w:t>4</w:t>
            </w:r>
          </w:p>
        </w:tc>
        <w:tc>
          <w:tcPr>
            <w:tcW w:w="2128" w:type="dxa"/>
            <w:noWrap w:val="0"/>
            <w:vAlign w:val="center"/>
          </w:tcPr>
          <w:p w14:paraId="1B002AF8">
            <w:pPr>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管理制度</w:t>
            </w:r>
          </w:p>
        </w:tc>
        <w:tc>
          <w:tcPr>
            <w:tcW w:w="6208" w:type="dxa"/>
            <w:noWrap w:val="0"/>
            <w:vAlign w:val="top"/>
          </w:tcPr>
          <w:p w14:paraId="74F2A794">
            <w:pP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针对本项目制订的各项内部管理制度、考核监督制度等，视其制度的科学性、全面性、针对性及可操作性综合评审，其制度的科学性、全面性、针对性及可操作性强的得8-10分，一般的得4-7分，差的得0-3分</w:t>
            </w:r>
          </w:p>
        </w:tc>
        <w:tc>
          <w:tcPr>
            <w:tcW w:w="948" w:type="dxa"/>
            <w:noWrap w:val="0"/>
            <w:vAlign w:val="center"/>
          </w:tcPr>
          <w:p w14:paraId="24DDE035">
            <w:pP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highlight w:val="red"/>
              </w:rPr>
              <w:t>10分</w:t>
            </w:r>
          </w:p>
        </w:tc>
      </w:tr>
      <w:tr w14:paraId="1707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05" w:type="dxa"/>
            <w:noWrap w:val="0"/>
            <w:vAlign w:val="center"/>
          </w:tcPr>
          <w:p w14:paraId="08221549">
            <w:pPr>
              <w:spacing w:line="5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red"/>
              </w:rPr>
              <w:t>4</w:t>
            </w:r>
          </w:p>
        </w:tc>
        <w:tc>
          <w:tcPr>
            <w:tcW w:w="2128" w:type="dxa"/>
            <w:noWrap w:val="0"/>
            <w:vAlign w:val="center"/>
          </w:tcPr>
          <w:p w14:paraId="56C38623">
            <w:pPr>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编制措施</w:t>
            </w:r>
          </w:p>
        </w:tc>
        <w:tc>
          <w:tcPr>
            <w:tcW w:w="6208" w:type="dxa"/>
            <w:noWrap w:val="0"/>
            <w:vAlign w:val="center"/>
          </w:tcPr>
          <w:p w14:paraId="28DEE069">
            <w:pP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有效建议和措施每项得2分，最高得6分</w:t>
            </w:r>
          </w:p>
        </w:tc>
        <w:tc>
          <w:tcPr>
            <w:tcW w:w="948" w:type="dxa"/>
            <w:noWrap w:val="0"/>
            <w:vAlign w:val="center"/>
          </w:tcPr>
          <w:p w14:paraId="3BB394B8">
            <w:pPr>
              <w:spacing w:line="500" w:lineRule="exact"/>
              <w:rPr>
                <w:rFonts w:hint="eastAsia" w:ascii="仿宋" w:hAnsi="仿宋" w:eastAsia="仿宋" w:cs="仿宋"/>
                <w:color w:val="FF0000"/>
                <w:sz w:val="24"/>
                <w:szCs w:val="24"/>
              </w:rPr>
            </w:pPr>
            <w:r>
              <w:rPr>
                <w:rFonts w:hint="eastAsia" w:ascii="仿宋" w:hAnsi="仿宋" w:eastAsia="仿宋" w:cs="仿宋"/>
                <w:color w:val="auto"/>
                <w:sz w:val="24"/>
                <w:szCs w:val="24"/>
                <w:highlight w:val="red"/>
              </w:rPr>
              <w:t>6分</w:t>
            </w:r>
          </w:p>
        </w:tc>
      </w:tr>
      <w:tr w14:paraId="2B84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3A3BA794">
            <w:pP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red"/>
              </w:rPr>
              <w:t>5</w:t>
            </w:r>
          </w:p>
        </w:tc>
        <w:tc>
          <w:tcPr>
            <w:tcW w:w="2128" w:type="dxa"/>
            <w:noWrap w:val="0"/>
            <w:vAlign w:val="center"/>
          </w:tcPr>
          <w:p w14:paraId="107C1D10">
            <w:pP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服务保障</w:t>
            </w:r>
          </w:p>
        </w:tc>
        <w:tc>
          <w:tcPr>
            <w:tcW w:w="6208" w:type="dxa"/>
            <w:noWrap w:val="0"/>
            <w:vAlign w:val="top"/>
          </w:tcPr>
          <w:p w14:paraId="211962E7">
            <w:pPr>
              <w:widowControl/>
              <w:jc w:val="left"/>
              <w:rPr>
                <w:rFonts w:hint="eastAsia" w:ascii="仿宋" w:hAnsi="仿宋" w:eastAsia="仿宋" w:cs="仿宋"/>
                <w:color w:val="auto"/>
                <w:sz w:val="24"/>
                <w:szCs w:val="24"/>
                <w:highlight w:val="red"/>
              </w:rPr>
            </w:pPr>
            <w:r>
              <w:rPr>
                <w:rFonts w:hint="eastAsia" w:ascii="仿宋" w:hAnsi="仿宋" w:eastAsia="仿宋" w:cs="仿宋"/>
                <w:color w:val="auto"/>
                <w:sz w:val="24"/>
                <w:szCs w:val="24"/>
                <w:highlight w:val="red"/>
              </w:rPr>
              <w:t>1.服务保障方案和承诺以及人员到位时间承诺完整、可行，落实保障措施和其他承诺等全面周到的得10-14分，服务方案不全面，落实保障措施和其他承诺欠缺的得0-9分，除招标文件规定内容外无其他服务承诺的，该项不得分；</w:t>
            </w:r>
          </w:p>
          <w:p w14:paraId="17F307CE">
            <w:pPr>
              <w:widowControl/>
              <w:jc w:val="left"/>
              <w:rPr>
                <w:rFonts w:hint="eastAsia" w:ascii="仿宋" w:hAnsi="仿宋" w:eastAsia="仿宋" w:cs="仿宋"/>
                <w:color w:val="FF0000"/>
                <w:sz w:val="24"/>
                <w:szCs w:val="24"/>
                <w:highlight w:val="none"/>
              </w:rPr>
            </w:pPr>
            <w:r>
              <w:rPr>
                <w:rFonts w:hint="eastAsia" w:ascii="仿宋" w:hAnsi="仿宋" w:eastAsia="仿宋" w:cs="仿宋"/>
                <w:color w:val="auto"/>
                <w:sz w:val="24"/>
                <w:szCs w:val="24"/>
                <w:highlight w:val="red"/>
              </w:rPr>
              <w:t>2.应急响应时间：在接到招标人通知（电话、电传等）后2小时内现场响应并开展工作的得6分；</w:t>
            </w:r>
          </w:p>
        </w:tc>
        <w:tc>
          <w:tcPr>
            <w:tcW w:w="948" w:type="dxa"/>
            <w:noWrap w:val="0"/>
            <w:vAlign w:val="center"/>
          </w:tcPr>
          <w:p w14:paraId="211184A9">
            <w:pPr>
              <w:spacing w:line="500" w:lineRule="exact"/>
              <w:rPr>
                <w:rFonts w:hint="eastAsia" w:ascii="仿宋" w:hAnsi="仿宋" w:eastAsia="仿宋" w:cs="仿宋"/>
                <w:color w:val="FF0000"/>
                <w:sz w:val="24"/>
                <w:szCs w:val="24"/>
              </w:rPr>
            </w:pPr>
            <w:r>
              <w:rPr>
                <w:rFonts w:hint="eastAsia" w:ascii="仿宋" w:hAnsi="仿宋" w:eastAsia="仿宋" w:cs="仿宋"/>
                <w:color w:val="auto"/>
                <w:sz w:val="24"/>
                <w:szCs w:val="24"/>
                <w:highlight w:val="red"/>
              </w:rPr>
              <w:t>20分</w:t>
            </w:r>
          </w:p>
        </w:tc>
      </w:tr>
      <w:tr w14:paraId="07A2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34C5840E">
            <w:pPr>
              <w:spacing w:line="34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red"/>
              </w:rPr>
              <w:t>7</w:t>
            </w:r>
          </w:p>
        </w:tc>
        <w:tc>
          <w:tcPr>
            <w:tcW w:w="2128" w:type="dxa"/>
            <w:noWrap w:val="0"/>
            <w:vAlign w:val="center"/>
          </w:tcPr>
          <w:p w14:paraId="53797E15">
            <w:pPr>
              <w:spacing w:line="340" w:lineRule="exact"/>
              <w:jc w:val="center"/>
              <w:rPr>
                <w:rFonts w:hint="eastAsia" w:ascii="仿宋" w:hAnsi="仿宋" w:eastAsia="仿宋" w:cs="仿宋"/>
                <w:color w:val="FF0000"/>
                <w:sz w:val="24"/>
                <w:szCs w:val="24"/>
                <w:highlight w:val="none"/>
              </w:rPr>
            </w:pPr>
            <w:r>
              <w:rPr>
                <w:rFonts w:hint="eastAsia" w:ascii="仿宋" w:hAnsi="仿宋" w:eastAsia="仿宋" w:cs="仿宋"/>
                <w:color w:val="auto"/>
                <w:kern w:val="0"/>
                <w:sz w:val="24"/>
                <w:szCs w:val="24"/>
                <w:highlight w:val="red"/>
                <w:lang w:bidi="ar"/>
              </w:rPr>
              <w:t>应急保障措施</w:t>
            </w:r>
          </w:p>
        </w:tc>
        <w:tc>
          <w:tcPr>
            <w:tcW w:w="6208" w:type="dxa"/>
            <w:noWrap w:val="0"/>
            <w:vAlign w:val="center"/>
          </w:tcPr>
          <w:p w14:paraId="2F1402D3">
            <w:pPr>
              <w:widowControl/>
              <w:jc w:val="left"/>
              <w:rPr>
                <w:rFonts w:hint="eastAsia" w:ascii="仿宋" w:hAnsi="仿宋" w:eastAsia="仿宋" w:cs="仿宋"/>
                <w:color w:val="FF0000"/>
                <w:sz w:val="24"/>
                <w:szCs w:val="24"/>
                <w:highlight w:val="none"/>
              </w:rPr>
            </w:pPr>
            <w:r>
              <w:rPr>
                <w:rFonts w:hint="eastAsia" w:ascii="仿宋" w:hAnsi="仿宋" w:eastAsia="仿宋" w:cs="仿宋"/>
                <w:color w:val="auto"/>
                <w:kern w:val="0"/>
                <w:sz w:val="24"/>
                <w:szCs w:val="24"/>
                <w:highlight w:val="red"/>
                <w:lang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12分。</w:t>
            </w:r>
          </w:p>
        </w:tc>
        <w:tc>
          <w:tcPr>
            <w:tcW w:w="948" w:type="dxa"/>
            <w:noWrap w:val="0"/>
            <w:vAlign w:val="center"/>
          </w:tcPr>
          <w:p w14:paraId="51FA9889">
            <w:pP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highlight w:val="red"/>
              </w:rPr>
              <w:t>12分</w:t>
            </w:r>
          </w:p>
        </w:tc>
      </w:tr>
      <w:tr w14:paraId="03AD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71DB7C52">
            <w:pPr>
              <w:spacing w:line="340" w:lineRule="exact"/>
              <w:jc w:val="center"/>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red"/>
              </w:rPr>
              <w:t>8</w:t>
            </w:r>
          </w:p>
        </w:tc>
        <w:tc>
          <w:tcPr>
            <w:tcW w:w="2128" w:type="dxa"/>
            <w:noWrap w:val="0"/>
            <w:vAlign w:val="center"/>
          </w:tcPr>
          <w:p w14:paraId="4B7C1294">
            <w:pPr>
              <w:spacing w:line="340" w:lineRule="exact"/>
              <w:jc w:val="center"/>
              <w:rPr>
                <w:rFonts w:hint="default" w:ascii="仿宋" w:hAnsi="仿宋" w:eastAsia="仿宋" w:cs="仿宋"/>
                <w:color w:val="FF0000"/>
                <w:kern w:val="0"/>
                <w:sz w:val="24"/>
                <w:szCs w:val="24"/>
                <w:highlight w:val="none"/>
                <w:lang w:val="en-US" w:eastAsia="zh-CN" w:bidi="ar"/>
              </w:rPr>
            </w:pPr>
            <w:r>
              <w:rPr>
                <w:rFonts w:hint="eastAsia" w:ascii="仿宋" w:hAnsi="仿宋" w:eastAsia="仿宋" w:cs="仿宋"/>
                <w:color w:val="auto"/>
                <w:kern w:val="0"/>
                <w:sz w:val="24"/>
                <w:szCs w:val="24"/>
                <w:highlight w:val="red"/>
                <w:lang w:bidi="ar"/>
              </w:rPr>
              <w:t>体系认证</w:t>
            </w:r>
          </w:p>
        </w:tc>
        <w:tc>
          <w:tcPr>
            <w:tcW w:w="6208" w:type="dxa"/>
            <w:noWrap w:val="0"/>
            <w:vAlign w:val="center"/>
          </w:tcPr>
          <w:p w14:paraId="6531D1DF">
            <w:pPr>
              <w:widowControl/>
              <w:jc w:val="left"/>
              <w:rPr>
                <w:rFonts w:hint="eastAsia" w:ascii="仿宋" w:hAnsi="仿宋" w:eastAsia="仿宋" w:cs="仿宋"/>
                <w:color w:val="FF0000"/>
                <w:kern w:val="0"/>
                <w:sz w:val="24"/>
                <w:szCs w:val="24"/>
                <w:highlight w:val="none"/>
                <w:lang w:val="en-US" w:eastAsia="zh-CN" w:bidi="ar"/>
              </w:rPr>
            </w:pPr>
            <w:r>
              <w:rPr>
                <w:rFonts w:hint="eastAsia" w:ascii="仿宋" w:hAnsi="仿宋" w:eastAsia="仿宋" w:cs="仿宋"/>
                <w:color w:val="auto"/>
                <w:kern w:val="0"/>
                <w:sz w:val="24"/>
                <w:szCs w:val="24"/>
                <w:highlight w:val="red"/>
                <w:lang w:bidi="ar"/>
              </w:rPr>
              <w:t>供应商具有质量管理体系认证证书、环境管理体系认证证书、职业健康安全管理体系认证证书且在有效期内的，每个得2分，最高得6分。提供证书复印件并加盖公章。</w:t>
            </w:r>
            <w:r>
              <w:rPr>
                <w:rFonts w:hint="eastAsia" w:ascii="仿宋" w:hAnsi="仿宋" w:eastAsia="仿宋" w:cs="仿宋"/>
                <w:color w:val="auto"/>
                <w:kern w:val="0"/>
                <w:sz w:val="24"/>
                <w:szCs w:val="24"/>
                <w:highlight w:val="red"/>
                <w:lang w:bidi="ar"/>
              </w:rPr>
              <w:tab/>
            </w:r>
          </w:p>
        </w:tc>
        <w:tc>
          <w:tcPr>
            <w:tcW w:w="948" w:type="dxa"/>
            <w:noWrap w:val="0"/>
            <w:vAlign w:val="center"/>
          </w:tcPr>
          <w:p w14:paraId="3D523508">
            <w:pP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highlight w:val="red"/>
              </w:rPr>
              <w:t>6分</w:t>
            </w:r>
          </w:p>
        </w:tc>
      </w:tr>
      <w:tr w14:paraId="0535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705" w:type="dxa"/>
            <w:noWrap w:val="0"/>
            <w:vAlign w:val="center"/>
          </w:tcPr>
          <w:p w14:paraId="58A5FBF9">
            <w:pPr>
              <w:spacing w:line="340" w:lineRule="exact"/>
              <w:jc w:val="center"/>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red"/>
              </w:rPr>
              <w:t>9</w:t>
            </w:r>
          </w:p>
        </w:tc>
        <w:tc>
          <w:tcPr>
            <w:tcW w:w="2128" w:type="dxa"/>
            <w:noWrap w:val="0"/>
            <w:vAlign w:val="center"/>
          </w:tcPr>
          <w:p w14:paraId="0F2676CC">
            <w:pPr>
              <w:spacing w:line="340" w:lineRule="exact"/>
              <w:jc w:val="center"/>
              <w:rPr>
                <w:rFonts w:hint="eastAsia" w:ascii="仿宋" w:hAnsi="仿宋" w:eastAsia="仿宋" w:cs="仿宋"/>
                <w:color w:val="FF0000"/>
                <w:kern w:val="0"/>
                <w:sz w:val="24"/>
                <w:szCs w:val="24"/>
                <w:highlight w:val="none"/>
                <w:lang w:val="en-US" w:eastAsia="zh-CN" w:bidi="ar"/>
              </w:rPr>
            </w:pPr>
            <w:r>
              <w:rPr>
                <w:rFonts w:hint="eastAsia" w:ascii="仿宋" w:hAnsi="仿宋" w:eastAsia="仿宋" w:cs="仿宋"/>
                <w:color w:val="auto"/>
                <w:kern w:val="0"/>
                <w:sz w:val="24"/>
                <w:szCs w:val="24"/>
                <w:highlight w:val="red"/>
                <w:lang w:bidi="ar"/>
              </w:rPr>
              <w:t>同类项目业绩</w:t>
            </w:r>
          </w:p>
        </w:tc>
        <w:tc>
          <w:tcPr>
            <w:tcW w:w="6208" w:type="dxa"/>
            <w:noWrap w:val="0"/>
            <w:vAlign w:val="center"/>
          </w:tcPr>
          <w:p w14:paraId="1C9220B0">
            <w:pPr>
              <w:widowControl/>
              <w:jc w:val="left"/>
              <w:rPr>
                <w:rFonts w:hint="eastAsia" w:ascii="仿宋" w:hAnsi="仿宋" w:eastAsia="仿宋" w:cs="仿宋"/>
                <w:color w:val="FF0000"/>
                <w:kern w:val="0"/>
                <w:sz w:val="24"/>
                <w:szCs w:val="24"/>
                <w:highlight w:val="none"/>
                <w:lang w:val="en-US" w:eastAsia="zh-CN" w:bidi="ar"/>
              </w:rPr>
            </w:pPr>
            <w:r>
              <w:rPr>
                <w:rFonts w:hint="eastAsia" w:ascii="仿宋" w:hAnsi="仿宋" w:eastAsia="仿宋" w:cs="仿宋"/>
                <w:color w:val="auto"/>
                <w:kern w:val="0"/>
                <w:sz w:val="24"/>
                <w:szCs w:val="24"/>
                <w:highlight w:val="red"/>
                <w:lang w:bidi="ar"/>
              </w:rPr>
              <w:t>自2021年12月1日以来（以合同签订时间为准）供应商承担过类似膜结构工程项目的，每提供一个得</w:t>
            </w:r>
            <w:r>
              <w:rPr>
                <w:rFonts w:hint="eastAsia" w:ascii="仿宋" w:hAnsi="仿宋" w:eastAsia="仿宋" w:cs="仿宋"/>
                <w:color w:val="auto"/>
                <w:kern w:val="0"/>
                <w:sz w:val="24"/>
                <w:szCs w:val="24"/>
                <w:highlight w:val="red"/>
                <w:lang w:val="en-US" w:eastAsia="zh-CN" w:bidi="ar"/>
              </w:rPr>
              <w:t>2</w:t>
            </w:r>
            <w:r>
              <w:rPr>
                <w:rFonts w:hint="eastAsia" w:ascii="仿宋" w:hAnsi="仿宋" w:eastAsia="仿宋" w:cs="仿宋"/>
                <w:color w:val="auto"/>
                <w:kern w:val="0"/>
                <w:sz w:val="24"/>
                <w:szCs w:val="24"/>
                <w:highlight w:val="red"/>
                <w:lang w:bidi="ar"/>
              </w:rPr>
              <w:t>分，最高得4分。（提供中标通知书与合同扫描件，否则不得分）4分</w:t>
            </w:r>
          </w:p>
        </w:tc>
        <w:tc>
          <w:tcPr>
            <w:tcW w:w="948" w:type="dxa"/>
            <w:noWrap w:val="0"/>
            <w:vAlign w:val="center"/>
          </w:tcPr>
          <w:p w14:paraId="28DA925B">
            <w:pP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highlight w:val="red"/>
              </w:rPr>
              <w:t>4分</w:t>
            </w:r>
          </w:p>
        </w:tc>
      </w:tr>
    </w:tbl>
    <w:p w14:paraId="3681EC23">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ab/>
      </w:r>
      <w:r>
        <w:rPr>
          <w:rFonts w:hint="eastAsia" w:ascii="仿宋_GB2312" w:hAnsi="仿宋_GB2312" w:eastAsia="仿宋_GB2312" w:cs="仿宋_GB2312"/>
          <w:sz w:val="28"/>
          <w:szCs w:val="28"/>
          <w:lang w:bidi="ar"/>
        </w:rPr>
        <w:t>各投标班组最终</w:t>
      </w:r>
      <w:r>
        <w:rPr>
          <w:rFonts w:hint="eastAsia" w:ascii="仿宋_GB2312" w:hAnsi="仿宋_GB2312" w:eastAsia="仿宋_GB2312" w:cs="仿宋_GB2312"/>
          <w:sz w:val="28"/>
          <w:szCs w:val="28"/>
          <w:lang w:val="en-US" w:eastAsia="zh-CN" w:bidi="ar"/>
        </w:rPr>
        <w:t>技术</w:t>
      </w:r>
      <w:r>
        <w:rPr>
          <w:rFonts w:hint="eastAsia" w:ascii="仿宋_GB2312" w:hAnsi="仿宋_GB2312" w:eastAsia="仿宋_GB2312" w:cs="仿宋_GB2312"/>
          <w:sz w:val="28"/>
          <w:szCs w:val="28"/>
          <w:lang w:bidi="ar"/>
        </w:rPr>
        <w:t>得分=</w:t>
      </w:r>
      <w:r>
        <w:rPr>
          <w:rFonts w:hint="eastAsia" w:ascii="仿宋_GB2312" w:hAnsi="仿宋_GB2312" w:eastAsia="仿宋_GB2312" w:cs="仿宋_GB2312"/>
          <w:sz w:val="28"/>
          <w:szCs w:val="28"/>
          <w:lang w:val="en-US" w:eastAsia="zh-CN" w:bidi="ar"/>
        </w:rPr>
        <w:t>技术</w:t>
      </w:r>
      <w:r>
        <w:rPr>
          <w:rFonts w:hint="eastAsia" w:ascii="仿宋_GB2312" w:hAnsi="仿宋_GB2312" w:eastAsia="仿宋_GB2312" w:cs="仿宋_GB2312"/>
          <w:sz w:val="28"/>
          <w:szCs w:val="28"/>
          <w:lang w:bidi="ar"/>
        </w:rPr>
        <w:t>得分×</w:t>
      </w:r>
      <w:r>
        <w:rPr>
          <w:rFonts w:hint="eastAsia" w:ascii="仿宋_GB2312" w:hAnsi="仿宋_GB2312" w:eastAsia="仿宋_GB2312" w:cs="仿宋_GB2312"/>
          <w:sz w:val="28"/>
          <w:szCs w:val="28"/>
          <w:lang w:val="en-US" w:eastAsia="zh-CN" w:bidi="ar"/>
        </w:rPr>
        <w:t>3</w:t>
      </w:r>
      <w:r>
        <w:rPr>
          <w:rFonts w:hint="eastAsia" w:ascii="仿宋_GB2312" w:hAnsi="仿宋_GB2312" w:eastAsia="仿宋_GB2312" w:cs="仿宋_GB2312"/>
          <w:sz w:val="28"/>
          <w:szCs w:val="28"/>
          <w:lang w:bidi="ar"/>
        </w:rPr>
        <w:t>0%</w:t>
      </w:r>
    </w:p>
    <w:p w14:paraId="1E8DD53D">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6EBA0B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64FE83EC">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55089C4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311DCA40">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没收投标人全额投标保证金，对此投标人完全知晓并同意；因此给招标人造成损失的，由投标人承担并赔偿招标人的一切损失。</w:t>
      </w:r>
    </w:p>
    <w:p w14:paraId="253FF698">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529B8627">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BBF55D5">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7A359321">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7228EA83">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692C65C2">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23833328">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CC92203">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2EEB70A0">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51649861">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w:t>
      </w:r>
      <w:r>
        <w:rPr>
          <w:rFonts w:hint="eastAsia" w:ascii="仿宋_GB2312" w:hAnsi="仿宋_GB2312" w:eastAsia="仿宋_GB2312" w:cs="仿宋_GB2312"/>
          <w:color w:val="auto"/>
          <w:sz w:val="28"/>
          <w:szCs w:val="28"/>
          <w:highlight w:val="none"/>
          <w:lang w:eastAsia="zh-CN"/>
        </w:rPr>
        <w:t>。</w:t>
      </w:r>
    </w:p>
    <w:p w14:paraId="541F24F5">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46036A84">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对此投标人完全知晓并同意；因此给招标人造成损失的，由投标人承担并赔偿招标人的一切损失。</w:t>
      </w:r>
    </w:p>
    <w:p w14:paraId="7667437B">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22A7929D">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31CE7354">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2、因业主单位原因导致本工程工程量增减、合同止或终止等，招标人接受并同意的，本工程中标人一并接受和同意，由此对中标人可能造成的损失由中标人自行承担。</w:t>
      </w:r>
    </w:p>
    <w:p w14:paraId="1A8BB210">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D7ADAC6">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3706EDDE">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05E55E2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63D9CAA9">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2C3C0D01">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38CDF96E">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中标人其他任一工程的工程款中进行扣除。</w:t>
      </w:r>
    </w:p>
    <w:p w14:paraId="2A329B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投标人禁止参与此次项目投标。</w:t>
      </w:r>
    </w:p>
    <w:p w14:paraId="55D0E3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中标人不服从招标人管理的，无法按照招标文件规定的各项工期节点履行的，招标人有权单方面解除合同并扣罚中标人全额履约保证金，中标人期间产生费用的由中标人自行承担，招标人期间支付的所有款项全额退回，投标人对此充分认识并完全接受。</w:t>
      </w:r>
    </w:p>
    <w:p w14:paraId="190F4B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12、中标人中标后应在3天内缴纳足额履约保证金到招标人账户，否则视为中标人违约，招标人有权不与签订合同并另行委托中标人，投标人对此充分认识并完全接受。</w:t>
      </w:r>
    </w:p>
    <w:p w14:paraId="36FABDB2">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EC824A6">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附件1：《专业承包合同》</w:t>
      </w:r>
    </w:p>
    <w:p w14:paraId="0634F16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63295AC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79A15854">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65EA3E09">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0F7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535D54E7">
            <w:pPr>
              <w:rPr>
                <w:rFonts w:hint="eastAsia" w:ascii="仿宋_GB2312" w:hAnsi="仿宋_GB2312" w:eastAsia="仿宋_GB2312" w:cs="仿宋_GB2312"/>
                <w:kern w:val="0"/>
                <w:sz w:val="28"/>
                <w:szCs w:val="28"/>
              </w:rPr>
            </w:pPr>
          </w:p>
          <w:p w14:paraId="623A5C5A">
            <w:pPr>
              <w:rPr>
                <w:rFonts w:hint="eastAsia" w:ascii="仿宋_GB2312" w:hAnsi="仿宋_GB2312" w:eastAsia="仿宋_GB2312" w:cs="仿宋_GB2312"/>
                <w:kern w:val="0"/>
                <w:sz w:val="28"/>
                <w:szCs w:val="28"/>
              </w:rPr>
            </w:pPr>
          </w:p>
          <w:p w14:paraId="117503E4">
            <w:pPr>
              <w:rPr>
                <w:rFonts w:hint="eastAsia" w:ascii="仿宋_GB2312" w:hAnsi="仿宋_GB2312" w:eastAsia="仿宋_GB2312" w:cs="仿宋_GB2312"/>
                <w:kern w:val="0"/>
                <w:sz w:val="28"/>
                <w:szCs w:val="28"/>
              </w:rPr>
            </w:pPr>
          </w:p>
          <w:p w14:paraId="24709C6A">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0D03C98F">
            <w:pPr>
              <w:ind w:firstLine="640" w:firstLineChars="200"/>
              <w:rPr>
                <w:rFonts w:hint="eastAsia" w:ascii="仿宋_GB2312" w:hAnsi="仿宋_GB2312" w:eastAsia="仿宋_GB2312" w:cs="仿宋_GB2312"/>
                <w:kern w:val="0"/>
                <w:sz w:val="32"/>
                <w:szCs w:val="32"/>
                <w:u w:val="single"/>
              </w:rPr>
            </w:pPr>
          </w:p>
          <w:p w14:paraId="01A49CD2">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4F757019">
            <w:pPr>
              <w:ind w:firstLine="960" w:firstLineChars="300"/>
              <w:rPr>
                <w:rFonts w:hint="eastAsia" w:ascii="仿宋_GB2312" w:hAnsi="仿宋_GB2312" w:eastAsia="仿宋_GB2312" w:cs="仿宋_GB2312"/>
                <w:kern w:val="0"/>
                <w:sz w:val="32"/>
                <w:szCs w:val="32"/>
                <w:u w:val="single"/>
              </w:rPr>
            </w:pPr>
          </w:p>
          <w:p w14:paraId="0F6A9E08">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58E37FD1">
            <w:pPr>
              <w:ind w:firstLine="960" w:firstLineChars="300"/>
              <w:rPr>
                <w:rFonts w:hint="eastAsia" w:ascii="仿宋_GB2312" w:hAnsi="仿宋_GB2312" w:eastAsia="仿宋_GB2312" w:cs="仿宋_GB2312"/>
                <w:kern w:val="0"/>
                <w:sz w:val="32"/>
                <w:szCs w:val="32"/>
                <w:u w:val="single"/>
              </w:rPr>
            </w:pPr>
          </w:p>
          <w:p w14:paraId="561968D1">
            <w:pPr>
              <w:ind w:firstLine="160" w:firstLineChars="50"/>
              <w:rPr>
                <w:rFonts w:hint="eastAsia" w:ascii="仿宋_GB2312" w:hAnsi="仿宋_GB2312" w:eastAsia="仿宋_GB2312" w:cs="仿宋_GB2312"/>
                <w:kern w:val="0"/>
                <w:sz w:val="32"/>
                <w:szCs w:val="32"/>
              </w:rPr>
            </w:pPr>
          </w:p>
          <w:p w14:paraId="2ECF43EB">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DD0BE1D">
            <w:pPr>
              <w:rPr>
                <w:rFonts w:hint="eastAsia" w:ascii="仿宋_GB2312" w:hAnsi="仿宋_GB2312" w:eastAsia="仿宋_GB2312" w:cs="仿宋_GB2312"/>
                <w:kern w:val="0"/>
                <w:sz w:val="32"/>
                <w:szCs w:val="32"/>
              </w:rPr>
            </w:pPr>
          </w:p>
          <w:p w14:paraId="4C063D0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42D8A973">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2755AF5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37235C4F">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49343F4A">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4CD8A4B8">
            <w:pPr>
              <w:rPr>
                <w:rFonts w:hint="eastAsia" w:ascii="仿宋_GB2312" w:hAnsi="仿宋_GB2312" w:eastAsia="仿宋_GB2312" w:cs="仿宋_GB2312"/>
                <w:kern w:val="0"/>
                <w:sz w:val="28"/>
                <w:szCs w:val="28"/>
              </w:rPr>
            </w:pPr>
          </w:p>
        </w:tc>
      </w:tr>
    </w:tbl>
    <w:p w14:paraId="0A71EAED">
      <w:pPr>
        <w:pStyle w:val="14"/>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191E4144">
      <w:pPr>
        <w:pStyle w:val="14"/>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64AF3015">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40E5E3CC">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下浮率</w:t>
      </w:r>
      <w:r>
        <w:rPr>
          <w:rFonts w:hint="eastAsia" w:ascii="仿宋_GB2312" w:hAnsi="仿宋_GB2312" w:eastAsia="仿宋_GB2312" w:cs="仿宋_GB2312"/>
          <w:sz w:val="28"/>
          <w:szCs w:val="28"/>
          <w:highlight w:val="none"/>
        </w:rPr>
        <w:t>并按招标文件要求承包上述工程的施工、竣工，并承担任何质量缺陷保修责任。</w:t>
      </w:r>
    </w:p>
    <w:p w14:paraId="4811D4E4">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E1DE99">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5973849A">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5299C09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1931FDFB">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eastAsia="zh-CN"/>
        </w:rPr>
        <w:t>，</w:t>
      </w: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1FB473B0">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1D70698F">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6936940B">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4A87846A">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5FF3A2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0019E5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01A907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4DDA61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4C43A4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1237D6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2AE36E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3D200857">
      <w:pPr>
        <w:pStyle w:val="13"/>
        <w:rPr>
          <w:rFonts w:hint="eastAsia"/>
          <w:sz w:val="28"/>
          <w:szCs w:val="28"/>
        </w:rPr>
      </w:pPr>
    </w:p>
    <w:p w14:paraId="1139BC1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7A7D0AA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2DC7A08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390AB282">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3D03974">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E77AC08">
      <w:pPr>
        <w:pStyle w:val="4"/>
        <w:rPr>
          <w:rFonts w:hint="eastAsia" w:ascii="仿宋" w:hAnsi="仿宋" w:eastAsia="仿宋" w:cs="仿宋"/>
          <w:sz w:val="28"/>
          <w:szCs w:val="28"/>
        </w:rPr>
      </w:pPr>
    </w:p>
    <w:p w14:paraId="01D4211F">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5C2E6596">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p>
    <w:p w14:paraId="11D964C2">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1A1162B0">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0013CB1">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84F027C">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D45E9CE">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90678AB">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98A522C">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FAEFA16">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94FFEAE">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1227266C">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sectPr>
          <w:footerReference r:id="rId3" w:type="default"/>
          <w:pgSz w:w="11906" w:h="16838"/>
          <w:pgMar w:top="1440" w:right="1264" w:bottom="1440" w:left="1179" w:header="851" w:footer="992" w:gutter="0"/>
          <w:pgNumType w:fmt="numberInDash"/>
          <w:cols w:space="720" w:num="1"/>
          <w:rtlGutter w:val="0"/>
          <w:docGrid w:type="lines" w:linePitch="315" w:charSpace="0"/>
        </w:sectPr>
      </w:pPr>
    </w:p>
    <w:p w14:paraId="07CAFF3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4E4B8B24">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7390AA3">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82F44F8">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3D23C1D">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EDE17E9">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DEFD065">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ADF431">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F1FD65">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DE42954">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sectPr>
          <w:pgSz w:w="11906" w:h="16838"/>
          <w:pgMar w:top="1440" w:right="1264" w:bottom="1440" w:left="1179" w:header="851" w:footer="992" w:gutter="0"/>
          <w:pgNumType w:fmt="numberInDash"/>
          <w:cols w:space="720" w:num="1"/>
          <w:rtlGutter w:val="0"/>
          <w:docGrid w:type="lines" w:linePitch="315" w:charSpace="0"/>
        </w:sectPr>
      </w:pPr>
    </w:p>
    <w:p w14:paraId="10AC80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5E3564">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1708C2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391A6E9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5B49A93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w:t>
      </w:r>
    </w:p>
    <w:p w14:paraId="13F73AD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434AD00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951C24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15434B7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1AF6A46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08D8554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31370D5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44329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210F2D4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1DDC6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4EA5836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投标人：（盖单位章）</w:t>
      </w:r>
    </w:p>
    <w:p w14:paraId="19404705">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6B985297">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3340C62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2D7B94D3">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E39CB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AE3261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511B141F">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8530765">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504E92F5">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0E394B2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2D22DF6">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3F118553">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39F21142">
      <w:pPr>
        <w:pStyle w:val="13"/>
        <w:rPr>
          <w:rFonts w:hint="eastAsia"/>
          <w:sz w:val="28"/>
          <w:szCs w:val="28"/>
          <w:lang w:val="zh-CN"/>
        </w:rPr>
      </w:pPr>
    </w:p>
    <w:p w14:paraId="0967341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w:t>
      </w:r>
      <w:r>
        <w:rPr>
          <w:rFonts w:hint="eastAsia" w:ascii="仿宋" w:hAnsi="仿宋" w:eastAsia="仿宋" w:cs="仿宋"/>
          <w:color w:val="000000"/>
          <w:sz w:val="28"/>
          <w:szCs w:val="28"/>
          <w:lang w:val="zh-CN"/>
        </w:rPr>
        <w:t>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在投标过程中，所签署的一切文件和处理与之有关的一切事务（</w:t>
      </w:r>
      <w:r>
        <w:rPr>
          <w:rFonts w:hint="eastAsia" w:ascii="仿宋" w:hAnsi="仿宋" w:eastAsia="仿宋" w:cs="仿宋"/>
          <w:color w:val="000000"/>
          <w:sz w:val="28"/>
          <w:szCs w:val="28"/>
          <w:lang w:val="en-US" w:eastAsia="zh-CN"/>
        </w:rPr>
        <w:t>包括但不限于投标、签约、联系、对账、结算等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B7F70B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3D4BFF2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6431E5D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_GB2312" w:hAnsi="仿宋_GB2312" w:eastAsia="仿宋_GB2312" w:cs="仿宋_GB2312"/>
          <w:sz w:val="28"/>
          <w:szCs w:val="28"/>
        </w:rPr>
        <w:t>投标人</w:t>
      </w:r>
      <w:r>
        <w:rPr>
          <w:rFonts w:hint="eastAsia" w:ascii="仿宋" w:hAnsi="仿宋" w:eastAsia="仿宋" w:cs="仿宋"/>
          <w:color w:val="000000"/>
          <w:sz w:val="28"/>
          <w:szCs w:val="28"/>
          <w:lang w:val="zh-CN"/>
        </w:rPr>
        <w:t>：（盖章）</w:t>
      </w:r>
    </w:p>
    <w:p w14:paraId="6F1B2D7D">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9B6741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4E7F687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94D5B8A">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3E458C70">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480FB1AC">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B6CF013">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236E7C99">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投标人及法定代表人、委托代理人均确保本《授权委托书》以及其他相关的材料上所有盖章、签字的真实性，不存在弄虚作假，否则除《授权委托书》等材料确有效外，依法追究法律责任（包括但不限于民事责任、刑事责任等）。</w:t>
      </w:r>
    </w:p>
    <w:p w14:paraId="2B9A4063">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1698ED85">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174DF7E8">
      <w:pPr>
        <w:rPr>
          <w:rFonts w:hint="eastAsia" w:ascii="方正小标宋简体" w:hAnsi="方正小标宋简体" w:eastAsia="方正小标宋简体" w:cs="方正小标宋简体"/>
          <w:b w:val="0"/>
          <w:bCs/>
          <w:color w:val="auto"/>
          <w:spacing w:val="40"/>
          <w:sz w:val="28"/>
          <w:szCs w:val="28"/>
          <w:lang w:val="en-US" w:eastAsia="zh-CN"/>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19F4369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781A9B6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460DA3E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4A1600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BCCE2E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205DCF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304028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500A117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523CDB4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639B062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17ED49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0348343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3AF71AA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659A2E6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07182D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5CA72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6F21B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00675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5E65EC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7221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5823E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282FF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C9F65F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28CE56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658430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389131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22DC93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477B5E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7BF62F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5E3C546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47108FD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sz w:val="28"/>
          <w:szCs w:val="28"/>
        </w:rPr>
        <w:t>投标人</w:t>
      </w:r>
      <w:r>
        <w:rPr>
          <w:rFonts w:hint="eastAsia" w:ascii="仿宋_GB2312" w:hAnsi="仿宋_GB2312" w:eastAsia="仿宋_GB2312" w:cs="仿宋_GB2312"/>
          <w:color w:val="auto"/>
          <w:sz w:val="28"/>
          <w:szCs w:val="28"/>
          <w:highlight w:val="none"/>
        </w:rPr>
        <w:t>（盖章）：</w:t>
      </w:r>
    </w:p>
    <w:p w14:paraId="187D22A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F2890DA">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56FD5FE5">
      <w:pPr>
        <w:pStyle w:val="18"/>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11B8744C">
      <w:pPr>
        <w:pStyle w:val="18"/>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68806770">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32B4C64">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09EAAB14">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28A5BCBF">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08E4083">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5EB91B12">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7D6D05EE">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39F6E0AB">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55218949">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5B56F036">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7B7710C4">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26F998A7">
      <w:pPr>
        <w:pStyle w:val="19"/>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56CC83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sz w:val="28"/>
          <w:szCs w:val="28"/>
        </w:rPr>
        <w:t>投标人</w:t>
      </w:r>
      <w:r>
        <w:rPr>
          <w:rFonts w:hint="eastAsia" w:ascii="仿宋_GB2312" w:hAnsi="仿宋_GB2312" w:eastAsia="仿宋_GB2312" w:cs="仿宋_GB2312"/>
          <w:color w:val="auto"/>
          <w:sz w:val="28"/>
          <w:szCs w:val="28"/>
          <w:highlight w:val="none"/>
        </w:rPr>
        <w:t>（盖章）：</w:t>
      </w:r>
    </w:p>
    <w:p w14:paraId="5927B84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7012BBC">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37AFCD5">
      <w:pPr>
        <w:pStyle w:val="18"/>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DE6E33D">
      <w:pPr>
        <w:pStyle w:val="18"/>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5E821447">
      <w:pPr>
        <w:pStyle w:val="1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4F3716CE">
      <w:pPr>
        <w:pStyle w:val="1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698454D1">
      <w:pPr>
        <w:pStyle w:val="1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56E03F87">
      <w:pPr>
        <w:pStyle w:val="1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71C48B93">
      <w:pPr>
        <w:pStyle w:val="1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1FC0F56B">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投标人</w:t>
      </w:r>
      <w:r>
        <w:rPr>
          <w:rFonts w:hint="eastAsia" w:ascii="仿宋" w:hAnsi="仿宋" w:eastAsia="仿宋" w:cs="仿宋"/>
          <w:sz w:val="28"/>
          <w:szCs w:val="28"/>
        </w:rPr>
        <w:t>（盖章）：</w:t>
      </w:r>
    </w:p>
    <w:p w14:paraId="10E65D9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078E85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代理人（签名）：</w:t>
      </w:r>
    </w:p>
    <w:p w14:paraId="2D4172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63DBF0A2">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CCA3EF8">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B925E5A">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6E4165E">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BF4E1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DF313B7">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8194C1">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B324ED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B30689">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AC3A49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3A10A86">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B45EFDF">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F9B4E7C">
      <w:pPr>
        <w:pStyle w:val="14"/>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AF1012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027CD22A">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E01F609">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B8C0104">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29DA1F8">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5F2DFEE">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A32E35D">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13A5BE9">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4A8218">
      <w:pPr>
        <w:pStyle w:val="11"/>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EA40318">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C5B051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CA73CF">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76F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69B2E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E9D1177">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FB66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DE43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67FE58">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CF9C4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0BD65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58525E">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4B3B7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11937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CF14F4">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D5C34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D28CA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581B3D">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BF0423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AD901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BD0125">
      <w:pPr>
        <w:spacing w:line="360" w:lineRule="exact"/>
        <w:jc w:val="right"/>
        <w:rPr>
          <w:rFonts w:hint="eastAsia" w:ascii="方正小标宋简体" w:hAnsi="方正小标宋简体" w:eastAsia="方正小标宋简体" w:cs="方正小标宋简体"/>
          <w:b w:val="0"/>
          <w:bCs w:val="0"/>
          <w:color w:val="auto"/>
          <w:sz w:val="44"/>
          <w:szCs w:val="44"/>
          <w:lang w:val="en-US" w:eastAsia="zh-CN"/>
        </w:rPr>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pPr>
    </w:p>
    <w:p w14:paraId="058831AB">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6B860D4D">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C49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084DBC52">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51A40B09">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BA9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B9A85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如：项目负责人</w:t>
            </w:r>
          </w:p>
        </w:tc>
        <w:tc>
          <w:tcPr>
            <w:tcW w:w="2512" w:type="pct"/>
            <w:noWrap w:val="0"/>
            <w:vAlign w:val="center"/>
          </w:tcPr>
          <w:p w14:paraId="449078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5A93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169B185">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如：项目技术负责人</w:t>
            </w:r>
          </w:p>
        </w:tc>
        <w:tc>
          <w:tcPr>
            <w:tcW w:w="2512" w:type="pct"/>
            <w:noWrap w:val="0"/>
            <w:vAlign w:val="center"/>
          </w:tcPr>
          <w:p w14:paraId="2D8B0EA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448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B7555F5">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如：质量员</w:t>
            </w:r>
          </w:p>
        </w:tc>
        <w:tc>
          <w:tcPr>
            <w:tcW w:w="2512" w:type="pct"/>
            <w:noWrap w:val="0"/>
            <w:vAlign w:val="center"/>
          </w:tcPr>
          <w:p w14:paraId="7A7859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4F7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91D586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如：施工员</w:t>
            </w:r>
          </w:p>
        </w:tc>
        <w:tc>
          <w:tcPr>
            <w:tcW w:w="2512" w:type="pct"/>
            <w:noWrap w:val="0"/>
            <w:vAlign w:val="center"/>
          </w:tcPr>
          <w:p w14:paraId="7D083AC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782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DAEFC9C">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如：材料员</w:t>
            </w:r>
          </w:p>
        </w:tc>
        <w:tc>
          <w:tcPr>
            <w:tcW w:w="2512" w:type="pct"/>
            <w:noWrap w:val="0"/>
            <w:vAlign w:val="center"/>
          </w:tcPr>
          <w:p w14:paraId="5035BA4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41A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56DF90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如：安全员</w:t>
            </w:r>
          </w:p>
        </w:tc>
        <w:tc>
          <w:tcPr>
            <w:tcW w:w="2512" w:type="pct"/>
            <w:noWrap w:val="0"/>
            <w:vAlign w:val="center"/>
          </w:tcPr>
          <w:p w14:paraId="4A1E08D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F51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D2A5DB0">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0397D5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7C6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FC0B28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7DB896E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DC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32544D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4917F01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7FD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786D25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55C90F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1C3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8F10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34FBD2EE">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32D871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65ED8BC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10B8BC">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投标人</w:t>
      </w:r>
      <w:r>
        <w:rPr>
          <w:rFonts w:hint="eastAsia" w:ascii="仿宋" w:hAnsi="仿宋" w:eastAsia="仿宋" w:cs="仿宋"/>
          <w:sz w:val="28"/>
          <w:szCs w:val="28"/>
        </w:rPr>
        <w:t>（盖章）：</w:t>
      </w:r>
    </w:p>
    <w:p w14:paraId="2C558E37">
      <w:pPr>
        <w:pStyle w:val="1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5D8C48A8">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92774FE">
      <w:pPr>
        <w:pStyle w:val="13"/>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AAE36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0B936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E86FED">
      <w:pPr>
        <w:rPr>
          <w:rFonts w:hint="eastAsia"/>
          <w:sz w:val="28"/>
          <w:szCs w:val="28"/>
          <w:lang w:val="en-US" w:eastAsia="zh-CN"/>
        </w:rPr>
      </w:pPr>
    </w:p>
    <w:p w14:paraId="4C8E8ACA">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sectPr>
          <w:pgSz w:w="11906" w:h="16838"/>
          <w:pgMar w:top="1440" w:right="1264" w:bottom="1440" w:left="1179" w:header="851" w:footer="992" w:gutter="0"/>
          <w:pgNumType w:fmt="numberInDash"/>
          <w:cols w:space="720" w:num="1"/>
          <w:rtlGutter w:val="0"/>
          <w:docGrid w:type="lines" w:linePitch="315" w:charSpace="0"/>
        </w:sectPr>
      </w:pPr>
    </w:p>
    <w:p w14:paraId="463F4684">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ADBCA4D">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019D6218">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24EA220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505AD299">
      <w:pPr>
        <w:keepNext w:val="0"/>
        <w:keepLines w:val="0"/>
        <w:pageBreakBefore w:val="0"/>
        <w:kinsoku/>
        <w:wordWrap/>
        <w:overflowPunct/>
        <w:topLinePunct w:val="0"/>
        <w:bidi w:val="0"/>
        <w:snapToGrid/>
        <w:spacing w:line="50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08BD05D">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C158409">
      <w:pPr>
        <w:pStyle w:val="13"/>
        <w:keepNext w:val="0"/>
        <w:keepLines w:val="0"/>
        <w:pageBreakBefore w:val="0"/>
        <w:kinsoku/>
        <w:wordWrap/>
        <w:overflowPunct/>
        <w:topLinePunct w:val="0"/>
        <w:bidi w:val="0"/>
        <w:snapToGrid/>
        <w:spacing w:after="0" w:afterLines="0" w:line="50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56c12599-afb4-4876-b32e-87b093cc14f8}"/>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生态酒店网球场膜结构采购项目</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5F4811FE">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ae7458f0-5509-42cb-8e3e-ec16bc3e09b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湖州市南浔区生态酒店旁（招标人指定地点）</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521437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c96615d7-df41-4647-92e7-2c0955a40ebb}"/>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网球场钢结构膜结构所需货物采购及安装，包括钢结构、预埋件、膜结构等，具体详见施工图纸，本招标文件后附清单作为参考。最终以招标人及业主单位要求为准，直至本工程满足功能性要求及设计单位、业主单位要求并竣工验收合格为止。</w:t>
          </w:r>
        </w:sdtContent>
      </w:sdt>
    </w:p>
    <w:p w14:paraId="5C956777">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613F720E">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3265674F">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2696E807">
      <w:pPr>
        <w:keepNext w:val="0"/>
        <w:keepLines w:val="0"/>
        <w:pageBreakBefore w:val="0"/>
        <w:kinsoku/>
        <w:wordWrap/>
        <w:overflowPunct/>
        <w:topLinePunct w:val="0"/>
        <w:bidi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27E7C6BF">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55E0AE92">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560" w:firstLineChars="200"/>
        <w:jc w:val="both"/>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sz w:val="28"/>
          <w:szCs w:val="28"/>
          <w:highlight w:val="none"/>
          <w:lang w:val="en-US" w:eastAsia="zh-CN"/>
        </w:rPr>
        <w:t>工程完工后由招标人委托第三方审计机构对中标人的结算进行审计，最终结算价计算方式为：（招标人确认的结算审计价-甲供材对应的款项）×(1-中标下浮率)-其他扣款，其他扣款包括但不限于投标费用、围挡建设费、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sz w:val="28"/>
          <w:szCs w:val="28"/>
          <w:highlight w:val="yellow"/>
          <w:lang w:val="en-US" w:eastAsia="zh-CN"/>
        </w:rPr>
        <w:t>最终结算价如高于553万元，则按照553万元进行结算。</w:t>
      </w:r>
    </w:p>
    <w:p w14:paraId="298304C6">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7BAF6C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736170aa-8624-427a-b7b9-18d63a0811e3}"/>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中标后立即排产，2025年1月25日前钢网架结构工厂制作完成，膜结构材料就位。2月12日前开始现场吊装，2月底主体钢结构及膜结构安装完成并具备室内装修条件，3月15日前完成全部合同内容</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3C88494C">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3041610E">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C28AD23">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1718D4BF">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35DBEE7E">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0C7E79B7">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F61F56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年（膜结构保修期伍年）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0C31DCA2">
      <w:pPr>
        <w:keepNext w:val="0"/>
        <w:keepLines w:val="0"/>
        <w:pageBreakBefore w:val="0"/>
        <w:numPr>
          <w:ilvl w:val="0"/>
          <w:numId w:val="0"/>
        </w:numPr>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688577E3">
      <w:pPr>
        <w:pStyle w:val="13"/>
        <w:keepNext w:val="0"/>
        <w:keepLines w:val="0"/>
        <w:pageBreakBefore w:val="0"/>
        <w:numPr>
          <w:ilvl w:val="0"/>
          <w:numId w:val="0"/>
        </w:numPr>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7c32003c-8b9e-4275-a650-6d192367af5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3B8260D5">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8758280">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40BCF5D2">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4FB1C977">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097C44D3">
      <w:pPr>
        <w:keepNext w:val="0"/>
        <w:keepLines w:val="0"/>
        <w:pageBreakBefore w:val="0"/>
        <w:kinsoku/>
        <w:wordWrap/>
        <w:overflowPunct/>
        <w:topLinePunct w:val="0"/>
        <w:bidi w:val="0"/>
        <w:snapToGrid/>
        <w:spacing w:line="50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4928DA62">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4d20eb73-d645-438e-b373-8aa2a9cf6e56}"/>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经招标人确认钢结构确已排产后支付30万元，钢结构加工完成经招标人确认具备吊装条件后支付70万元，膜结构备货完成经招标人确认后支付20万元，主体钢结构及膜结构安装完成并具备室内装修条件支付150万元（工人工资应按照公司规定打卡考勤并优先支付，否则招标人有权不予支付），合同内容全部完成并提交竣工结算后支付40万元（工人工资应按照公司规定打卡考勤并优先支付，否则招标人有权不予支付）。工程审计完成后5日内完成最终结算，支付至最终结算总金额的95%，支付时须提供工程结算金额100%的进项发票，否则公司有权不予付款；尾款待保修期全部满后付清（无息）。</w:t>
          </w:r>
        </w:sdtContent>
      </w:sdt>
    </w:p>
    <w:p w14:paraId="2FA64411">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29CAED8C">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1CBC28AB">
      <w:pPr>
        <w:keepNext w:val="0"/>
        <w:keepLines w:val="0"/>
        <w:pageBreakBefore w:val="0"/>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7144A03F">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2DFD60F3">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597752B8">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4E41EC25">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69BD90D5">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31D19246">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BC59142">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518619A5">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6FD8092">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1F711160">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696C985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086A92DB">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25560AF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3D6C8F0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7F90EE35">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3C1C0B3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07511F8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5F17E4B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160F7964">
      <w:pPr>
        <w:keepNext w:val="0"/>
        <w:keepLines w:val="0"/>
        <w:pageBreakBefore w:val="0"/>
        <w:widowControl/>
        <w:kinsoku/>
        <w:wordWrap/>
        <w:overflowPunct/>
        <w:topLinePunct w:val="0"/>
        <w:bidi w:val="0"/>
        <w:snapToGrid/>
        <w:spacing w:line="50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4AF82DC2">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541912DB">
      <w:pPr>
        <w:keepNext w:val="0"/>
        <w:keepLines w:val="0"/>
        <w:pageBreakBefore w:val="0"/>
        <w:widowControl/>
        <w:kinsoku/>
        <w:wordWrap/>
        <w:overflowPunct/>
        <w:topLinePunct w:val="0"/>
        <w:bidi w:val="0"/>
        <w:snapToGrid/>
        <w:spacing w:line="50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027A80BF">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773F890D">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1CAFEE0F">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6DAD63D8">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FA1113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265EE70">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5C5A400E">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03E420C5">
      <w:pPr>
        <w:keepNext w:val="0"/>
        <w:keepLines w:val="0"/>
        <w:pageBreakBefore w:val="0"/>
        <w:widowControl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7425C15E">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04881955">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4A7BE4F6">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19D051DD">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37AAC7FC">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6EAC38CD">
      <w:pPr>
        <w:pStyle w:val="13"/>
        <w:keepNext w:val="0"/>
        <w:keepLines w:val="0"/>
        <w:pageBreakBefore w:val="0"/>
        <w:widowControl/>
        <w:kinsoku/>
        <w:wordWrap/>
        <w:overflowPunct/>
        <w:topLinePunct w:val="0"/>
        <w:bidi w:val="0"/>
        <w:snapToGrid/>
        <w:spacing w:after="0" w:afterLines="0" w:line="50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304D5CCE">
      <w:pPr>
        <w:keepNext w:val="0"/>
        <w:keepLines w:val="0"/>
        <w:pageBreakBefore w:val="0"/>
        <w:widowControl/>
        <w:tabs>
          <w:tab w:val="left" w:pos="0"/>
        </w:tabs>
        <w:kinsoku/>
        <w:wordWrap/>
        <w:overflowPunct/>
        <w:topLinePunct w:val="0"/>
        <w:bidi w:val="0"/>
        <w:snapToGrid/>
        <w:spacing w:line="50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42F2089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1B13D02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74A1F85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w:t>
      </w:r>
      <w:r>
        <w:rPr>
          <w:rFonts w:hint="eastAsia" w:ascii="仿宋_GB2312" w:hAnsi="仿宋_GB2312" w:eastAsia="仿宋_GB2312" w:cs="仿宋_GB2312"/>
          <w:color w:val="auto"/>
          <w:kern w:val="0"/>
          <w:sz w:val="28"/>
          <w:szCs w:val="28"/>
          <w:lang w:val="en-US" w:eastAsia="zh-CN"/>
        </w:rPr>
        <w:t>2万元</w:t>
      </w:r>
      <w:r>
        <w:rPr>
          <w:rFonts w:hint="eastAsia" w:ascii="仿宋_GB2312" w:hAnsi="仿宋_GB2312" w:eastAsia="仿宋_GB2312" w:cs="仿宋_GB2312"/>
          <w:color w:val="auto"/>
          <w:kern w:val="0"/>
          <w:sz w:val="28"/>
          <w:szCs w:val="28"/>
          <w:lang w:val="zh-CN" w:eastAsia="zh-CN"/>
        </w:rPr>
        <w:t>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58E8CAA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61D2FA7E">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28714F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990280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292F8A0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1CC0FCE3">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11EF98AE">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313E479C">
      <w:pPr>
        <w:keepNext w:val="0"/>
        <w:keepLines w:val="0"/>
        <w:pageBreakBefore w:val="0"/>
        <w:widowControl/>
        <w:kinsoku/>
        <w:wordWrap/>
        <w:overflowPunct/>
        <w:topLinePunct w:val="0"/>
        <w:bidi w:val="0"/>
        <w:snapToGrid/>
        <w:spacing w:line="50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4B70309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A23F2C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46CB7A0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3834015">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53924ED2">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373E6C0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73698CE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5055871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5C37BAA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7D22ECC9">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013E082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76F358F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1D92F6B1">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36D211CA">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55BF4C49">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6098635">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5E5FEC0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9B4BDE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1C588775">
      <w:pPr>
        <w:keepNext w:val="0"/>
        <w:keepLines w:val="0"/>
        <w:pageBreakBefore w:val="0"/>
        <w:widowControl/>
        <w:kinsoku/>
        <w:wordWrap/>
        <w:overflowPunct/>
        <w:topLinePunct w:val="0"/>
        <w:bidi w:val="0"/>
        <w:snapToGrid/>
        <w:spacing w:line="50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52BDC8D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567B52C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0546484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1C1E0049">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AD6C5B8">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2973E97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6ECFC43E">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77260403">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5C15E2C2">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28379743">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39167E7">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5536786A">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0D9EF2D4">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32F76BA1">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2A4A4D3">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firstLine="560" w:firstLineChars="200"/>
        <w:jc w:val="both"/>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color w:val="auto"/>
          <w:sz w:val="28"/>
          <w:szCs w:val="28"/>
          <w:lang w:val="en-US" w:eastAsia="zh-CN"/>
        </w:rPr>
        <w:t>1、工程竣工结算方式为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sz w:val="28"/>
          <w:szCs w:val="28"/>
          <w:highlight w:val="none"/>
          <w:lang w:val="en-US" w:eastAsia="zh-CN"/>
        </w:rPr>
        <w:t>工程完工后由招标人委托第三方审计机构对中标人的结算进行审计，最终结算价计算方式为：（招标人确认的结算审计价-甲供材对应的款项）×(1-中标下浮率)-其他扣款，其他扣款包括但不限于投标费用、围挡建设费、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sz w:val="28"/>
          <w:szCs w:val="28"/>
          <w:highlight w:val="yellow"/>
          <w:lang w:val="en-US" w:eastAsia="zh-CN"/>
        </w:rPr>
        <w:t>最终结算价如高于553万元，则按照553万元进行结算。</w:t>
      </w:r>
    </w:p>
    <w:p w14:paraId="51D90E95">
      <w:pPr>
        <w:pStyle w:val="14"/>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560" w:firstLineChars="200"/>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可</w:t>
      </w:r>
      <w:r>
        <w:rPr>
          <w:rFonts w:hint="default" w:ascii="仿宋_GB2312" w:hAnsi="仿宋_GB2312" w:eastAsia="仿宋_GB2312" w:cs="仿宋_GB2312"/>
          <w:color w:val="auto"/>
          <w:sz w:val="28"/>
          <w:szCs w:val="28"/>
          <w:highlight w:val="none"/>
          <w:lang w:eastAsia="zh-CN"/>
        </w:rPr>
        <w:t>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6D8AA03">
      <w:pPr>
        <w:keepNext w:val="0"/>
        <w:keepLines w:val="0"/>
        <w:pageBreakBefore w:val="0"/>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w:t>
      </w:r>
      <w:r>
        <w:rPr>
          <w:rFonts w:hint="eastAsia" w:ascii="仿宋_GB2312" w:hAnsi="仿宋_GB2312" w:eastAsia="仿宋_GB2312" w:cs="仿宋_GB2312"/>
          <w:color w:val="auto"/>
          <w:sz w:val="28"/>
          <w:szCs w:val="28"/>
          <w:highlight w:val="none"/>
          <w:lang w:val="en-US" w:eastAsia="zh-CN"/>
        </w:rPr>
        <w:t>中标人原因导致</w:t>
      </w:r>
      <w:r>
        <w:rPr>
          <w:rFonts w:hint="default" w:ascii="仿宋_GB2312" w:hAnsi="仿宋_GB2312" w:eastAsia="仿宋_GB2312" w:cs="仿宋_GB2312"/>
          <w:color w:val="auto"/>
          <w:sz w:val="28"/>
          <w:szCs w:val="28"/>
          <w:highlight w:val="none"/>
          <w:lang w:eastAsia="zh-CN"/>
        </w:rPr>
        <w:t>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71E88199">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4、（1）最终建安工程费=经结算审计审核后的建安工程费（包含施工范围内所涉及的所有费用，由中标人按照以下的建安费结算编制依据上报后，经结算审计审定为准）×中标折扣率【注：中标建安工程费总价不超过553万元】。</w:t>
      </w:r>
    </w:p>
    <w:p w14:paraId="78D022B8">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（2）①按照《浙江省建设工程计价规则》（2018版）及浙江省2018版各专业预算定额、一般计税法计价及有关政策文件进行编制，按照国有项目招标控制价（国标工程量清单计价）的编制口径进行编制。</w:t>
      </w:r>
    </w:p>
    <w:p w14:paraId="5A7056D8">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1）《建设工程工程量清单计价规范》（GB 50500-2013）</w:t>
      </w:r>
    </w:p>
    <w:p w14:paraId="1178D8E2">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2）《建设工程工程量清单计价规范（2013）浙江省补充规定》（浙建站计〔2013〕63号）</w:t>
      </w:r>
    </w:p>
    <w:p w14:paraId="760D81A1">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3）《建设工程工程量清单计算规范（2013）浙江省补充规定（二）》（浙建站计〔2014〕31号）。</w:t>
      </w:r>
    </w:p>
    <w:p w14:paraId="444D7289">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 xml:space="preserve">4）《浙江省市政工程预算定额》(2018版) </w:t>
      </w:r>
    </w:p>
    <w:p w14:paraId="5E29FF5C">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 xml:space="preserve">5）《浙江省房屋建筑与装饰工程预算定额》(2018版) </w:t>
      </w:r>
    </w:p>
    <w:p w14:paraId="22888E26">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 xml:space="preserve">6）《浙江省通用安装工程预算定额》(2018版) </w:t>
      </w:r>
    </w:p>
    <w:p w14:paraId="2A8EF37D">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 xml:space="preserve">7）《浙江省园林绿化及仿古建筑工程预算定额》(2018版) </w:t>
      </w:r>
    </w:p>
    <w:p w14:paraId="717768B5">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 xml:space="preserve">8）《浙江省建设工程施工机械台班费用定额》（2018版） </w:t>
      </w:r>
    </w:p>
    <w:p w14:paraId="24C23B89">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9）《浙江省建筑安装材料基期价格》(2018版)</w:t>
      </w:r>
    </w:p>
    <w:p w14:paraId="3BF17C9D">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10）浙江省建设工程计价规则（2018版）</w:t>
      </w:r>
    </w:p>
    <w:p w14:paraId="5A7E3425">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12）根据双方确认的施工范围、图纸及有效签证联系单（有效是指经甲方确认）</w:t>
      </w:r>
    </w:p>
    <w:p w14:paraId="5F92C8AD">
      <w:pPr>
        <w:widowControl/>
        <w:autoSpaceDE w:val="0"/>
        <w:autoSpaceDN w:val="0"/>
        <w:spacing w:line="500" w:lineRule="exact"/>
        <w:ind w:firstLine="560" w:firstLineChars="200"/>
        <w:rPr>
          <w:rFonts w:ascii="仿宋_GB2312" w:hAnsi="仿宋_GB2312" w:eastAsia="仿宋_GB2312" w:cs="仿宋_GB2312"/>
          <w:sz w:val="28"/>
          <w:szCs w:val="28"/>
          <w:highlight w:val="red"/>
        </w:rPr>
      </w:pPr>
      <w:r>
        <w:rPr>
          <w:rFonts w:hint="eastAsia" w:ascii="仿宋_GB2312" w:hAnsi="仿宋_GB2312" w:eastAsia="仿宋_GB2312" w:cs="仿宋_GB2312"/>
          <w:sz w:val="28"/>
          <w:szCs w:val="28"/>
          <w:highlight w:val="red"/>
        </w:rPr>
        <w:t>②各项费用和计取方式：以定额的“人工费＋机械费”作为取费基数，工程专业类别按照相对应的房屋建筑工程、安装工程、市政工程和园林绿化等工程执行，其中风险费用不计取，组织措施费计取安全文明施工基本费和冬雨季施工增加费，其它的组织措施费均不另计取。企业管理费、利润、施工组织措施项目费费率按中值计取（一般计税），其中安全文明施工基本费按非市区工程计取。规费、税金按规定费率计取（税金为一般计税）。</w:t>
      </w:r>
    </w:p>
    <w:p w14:paraId="2BE749B7">
      <w:pPr>
        <w:widowControl/>
        <w:autoSpaceDE w:val="0"/>
        <w:autoSpaceDN w:val="0"/>
        <w:spacing w:line="500" w:lineRule="exact"/>
        <w:ind w:firstLine="560" w:firstLineChars="200"/>
        <w:rPr>
          <w:rFonts w:hint="eastAsia" w:ascii="仿宋_GB2312" w:hAnsi="仿宋_GB2312" w:eastAsia="仿宋_GB2312" w:cs="仿宋_GB2312"/>
          <w:color w:val="auto"/>
          <w:sz w:val="28"/>
          <w:szCs w:val="28"/>
          <w:highlight w:val="red"/>
          <w:lang w:val="en-US" w:eastAsia="zh-CN"/>
        </w:rPr>
      </w:pPr>
      <w:r>
        <w:rPr>
          <w:rFonts w:hint="eastAsia" w:ascii="仿宋_GB2312" w:hAnsi="仿宋_GB2312" w:eastAsia="仿宋_GB2312" w:cs="仿宋_GB2312"/>
          <w:sz w:val="28"/>
          <w:szCs w:val="28"/>
          <w:highlight w:val="red"/>
        </w:rPr>
        <w:t>③人工、材料价格按照发包人书面确认的投标截止日前28日历天所在月份的造价管理部门发布的正刊除税信息价（信息价套用正刊发布的价格顺序：湖州造价信息、浙江省信息价、浙江省信息价中没有的按除税市场价执行（除税市场价须经发包人、承包人及第三方审计单位共同确认），机械费按定额机械费计取。</w:t>
      </w:r>
    </w:p>
    <w:p w14:paraId="1A5294FB">
      <w:pPr>
        <w:keepNext w:val="0"/>
        <w:keepLines w:val="0"/>
        <w:pageBreakBefore w:val="0"/>
        <w:widowControl/>
        <w:kinsoku/>
        <w:wordWrap/>
        <w:overflowPunct/>
        <w:topLinePunct w:val="0"/>
        <w:autoSpaceDE w:val="0"/>
        <w:autoSpaceDN w:val="0"/>
        <w:bidi w:val="0"/>
        <w:snapToGrid/>
        <w:spacing w:line="50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5</w:t>
      </w:r>
      <w:r>
        <w:rPr>
          <w:rFonts w:hint="default" w:ascii="仿宋_GB2312" w:hAnsi="仿宋_GB2312" w:eastAsia="仿宋_GB2312" w:cs="仿宋_GB2312"/>
          <w:color w:val="auto"/>
          <w:kern w:val="2"/>
          <w:sz w:val="28"/>
          <w:szCs w:val="28"/>
          <w:lang w:val="zh-CN" w:eastAsia="zh-CN" w:bidi="ar-SA"/>
        </w:rPr>
        <w:t>.甲供材料实际用量与业主单位确认的审计报告中用量对比超出部分，按照招标人实际采购价上浮8%在中标人工程款中直接扣除。</w:t>
      </w:r>
    </w:p>
    <w:p w14:paraId="0870FC0B">
      <w:pPr>
        <w:keepNext w:val="0"/>
        <w:keepLines w:val="0"/>
        <w:pageBreakBefore w:val="0"/>
        <w:widowControl/>
        <w:kinsoku/>
        <w:wordWrap/>
        <w:overflowPunct/>
        <w:topLinePunct w:val="0"/>
        <w:autoSpaceDE w:val="0"/>
        <w:autoSpaceDN w:val="0"/>
        <w:bidi w:val="0"/>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6.按照甲方与业主单位签订合同的约定、工程业主单位的其他规定，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71A4B22A">
      <w:pPr>
        <w:keepNext w:val="0"/>
        <w:keepLines w:val="0"/>
        <w:pageBreakBefore w:val="0"/>
        <w:widowControl/>
        <w:kinsoku/>
        <w:wordWrap/>
        <w:overflowPunct/>
        <w:topLinePunct w:val="0"/>
        <w:bidi w:val="0"/>
        <w:snapToGrid/>
        <w:spacing w:line="50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2"/>
          <w:sz w:val="28"/>
          <w:szCs w:val="28"/>
          <w:lang w:val="en-US" w:eastAsia="zh-CN" w:bidi="ar-SA"/>
        </w:rPr>
        <w:t>7.</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4D2D2E79">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5B456F33">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37A4F57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1A2873DC">
      <w:pPr>
        <w:keepNext w:val="0"/>
        <w:keepLines w:val="0"/>
        <w:pageBreakBefore w:val="0"/>
        <w:widowControl/>
        <w:kinsoku/>
        <w:wordWrap/>
        <w:overflowPunct/>
        <w:topLinePunct w:val="0"/>
        <w:autoSpaceDE w:val="0"/>
        <w:autoSpaceDN w:val="0"/>
        <w:bidi w:val="0"/>
        <w:snapToGrid/>
        <w:spacing w:line="50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5933C607">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6BB885CB">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51BEF9D3">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624DCED6">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24416E24">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6BE5FD4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9729B0C">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14:paraId="1715A976">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7FBAB200">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3946D1E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4A947B82">
      <w:pPr>
        <w:keepNext w:val="0"/>
        <w:keepLines w:val="0"/>
        <w:pageBreakBefore w:val="0"/>
        <w:widowControl/>
        <w:kinsoku/>
        <w:wordWrap/>
        <w:overflowPunct/>
        <w:topLinePunct w:val="0"/>
        <w:bidi w:val="0"/>
        <w:snapToGrid/>
        <w:spacing w:line="50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4F00CFDF">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3B851A8D">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5C9C40E6">
      <w:pPr>
        <w:keepNext w:val="0"/>
        <w:keepLines w:val="0"/>
        <w:pageBreakBefore w:val="0"/>
        <w:widowControl/>
        <w:kinsoku/>
        <w:wordWrap/>
        <w:overflowPunct/>
        <w:topLinePunct w:val="0"/>
        <w:bidi w:val="0"/>
        <w:snapToGrid/>
        <w:spacing w:line="50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7339DA52">
      <w:pPr>
        <w:pStyle w:val="13"/>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41E86A2B">
      <w:pPr>
        <w:pStyle w:val="13"/>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6D0BA0DC">
      <w:pPr>
        <w:pStyle w:val="13"/>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p w14:paraId="6FD84020">
      <w:pPr>
        <w:pStyle w:val="13"/>
        <w:keepNext w:val="0"/>
        <w:keepLines w:val="0"/>
        <w:pageBreakBefore w:val="0"/>
        <w:widowControl/>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eastAsia" w:ascii="仿宋_GB2312" w:hAnsi="仿宋_GB2312" w:eastAsia="仿宋_GB2312" w:cs="仿宋_GB2312"/>
          <w:color w:val="auto"/>
          <w:sz w:val="36"/>
          <w:szCs w:val="36"/>
          <w:lang w:val="en-US" w:eastAsia="zh-CN"/>
        </w:rPr>
      </w:pPr>
    </w:p>
    <w:sectPr>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C39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1D55E5">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91D55E5">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EBC2">
    <w:pPr>
      <w:pStyle w:val="9"/>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02BB7A">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02BB7A">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1913">
    <w:pPr>
      <w:pStyle w:val="10"/>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3EB6F"/>
    <w:multiLevelType w:val="singleLevel"/>
    <w:tmpl w:val="9BA3EB6F"/>
    <w:lvl w:ilvl="0" w:tentative="0">
      <w:start w:val="1"/>
      <w:numFmt w:val="decimal"/>
      <w:suff w:val="nothing"/>
      <w:lvlText w:val="%1、"/>
      <w:lvlJc w:val="left"/>
    </w:lvl>
  </w:abstractNum>
  <w:abstractNum w:abstractNumId="1">
    <w:nsid w:val="9FCE44E3"/>
    <w:multiLevelType w:val="singleLevel"/>
    <w:tmpl w:val="9FCE44E3"/>
    <w:lvl w:ilvl="0" w:tentative="0">
      <w:start w:val="1"/>
      <w:numFmt w:val="chineseCounting"/>
      <w:suff w:val="nothing"/>
      <w:lvlText w:val="%1、"/>
      <w:lvlJc w:val="left"/>
      <w:rPr>
        <w:rFonts w:hint="eastAsia"/>
      </w:rPr>
    </w:lvl>
  </w:abstractNum>
  <w:abstractNum w:abstractNumId="2">
    <w:nsid w:val="CCAC7462"/>
    <w:multiLevelType w:val="singleLevel"/>
    <w:tmpl w:val="CCAC7462"/>
    <w:lvl w:ilvl="0" w:tentative="0">
      <w:start w:val="1"/>
      <w:numFmt w:val="decimal"/>
      <w:suff w:val="nothing"/>
      <w:lvlText w:val="%1、"/>
      <w:lvlJc w:val="left"/>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7C8A8F1E"/>
    <w:multiLevelType w:val="singleLevel"/>
    <w:tmpl w:val="7C8A8F1E"/>
    <w:lvl w:ilvl="0" w:tentative="0">
      <w:start w:val="2"/>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WI1Yzg2Mzc3MTQ5MzdkYTBmOTAxMGE1YWNjZDEifQ=="/>
  </w:docVars>
  <w:rsids>
    <w:rsidRoot w:val="4D72579F"/>
    <w:rsid w:val="01784586"/>
    <w:rsid w:val="022B2003"/>
    <w:rsid w:val="024D517C"/>
    <w:rsid w:val="02BC3862"/>
    <w:rsid w:val="02BC5875"/>
    <w:rsid w:val="03004097"/>
    <w:rsid w:val="036F73CD"/>
    <w:rsid w:val="04D754BC"/>
    <w:rsid w:val="05C27936"/>
    <w:rsid w:val="060D2627"/>
    <w:rsid w:val="0664493D"/>
    <w:rsid w:val="07034D03"/>
    <w:rsid w:val="0845738B"/>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F325E9A"/>
    <w:rsid w:val="0FFB54E4"/>
    <w:rsid w:val="109275A9"/>
    <w:rsid w:val="128C4F28"/>
    <w:rsid w:val="130872F3"/>
    <w:rsid w:val="140B4E5D"/>
    <w:rsid w:val="1437301A"/>
    <w:rsid w:val="14C33176"/>
    <w:rsid w:val="14D56A06"/>
    <w:rsid w:val="150838E9"/>
    <w:rsid w:val="160C4FAD"/>
    <w:rsid w:val="162B4E77"/>
    <w:rsid w:val="16D80B50"/>
    <w:rsid w:val="172401FC"/>
    <w:rsid w:val="175E1271"/>
    <w:rsid w:val="177B16DD"/>
    <w:rsid w:val="17C44811"/>
    <w:rsid w:val="17F90A1F"/>
    <w:rsid w:val="180513B0"/>
    <w:rsid w:val="18651DBE"/>
    <w:rsid w:val="188B1748"/>
    <w:rsid w:val="18B37031"/>
    <w:rsid w:val="18FD3554"/>
    <w:rsid w:val="19CA465F"/>
    <w:rsid w:val="1B276539"/>
    <w:rsid w:val="1B290206"/>
    <w:rsid w:val="1D8A0AF6"/>
    <w:rsid w:val="1DF753EC"/>
    <w:rsid w:val="1EDA1C32"/>
    <w:rsid w:val="1F4F5857"/>
    <w:rsid w:val="1FB65DB1"/>
    <w:rsid w:val="1FCD6F96"/>
    <w:rsid w:val="20966027"/>
    <w:rsid w:val="20A00502"/>
    <w:rsid w:val="213C72D1"/>
    <w:rsid w:val="21A9704B"/>
    <w:rsid w:val="21E5246C"/>
    <w:rsid w:val="22B96264"/>
    <w:rsid w:val="22E25DF4"/>
    <w:rsid w:val="23963804"/>
    <w:rsid w:val="23AD6B8C"/>
    <w:rsid w:val="240C6FC1"/>
    <w:rsid w:val="24923529"/>
    <w:rsid w:val="24DC6BA4"/>
    <w:rsid w:val="25AC1A52"/>
    <w:rsid w:val="25AC3ECC"/>
    <w:rsid w:val="25CC4F38"/>
    <w:rsid w:val="267A65CD"/>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5F3F53"/>
    <w:rsid w:val="2DDD275B"/>
    <w:rsid w:val="2EA60DD6"/>
    <w:rsid w:val="2EE70255"/>
    <w:rsid w:val="2EED2E72"/>
    <w:rsid w:val="2F257F75"/>
    <w:rsid w:val="2F7B4131"/>
    <w:rsid w:val="2FD47A9D"/>
    <w:rsid w:val="300D7E44"/>
    <w:rsid w:val="30981779"/>
    <w:rsid w:val="328416F9"/>
    <w:rsid w:val="33BE1F6B"/>
    <w:rsid w:val="34390751"/>
    <w:rsid w:val="343D1E3E"/>
    <w:rsid w:val="34B25A95"/>
    <w:rsid w:val="34C66947"/>
    <w:rsid w:val="35C32B3D"/>
    <w:rsid w:val="37250DEE"/>
    <w:rsid w:val="372876AC"/>
    <w:rsid w:val="37855A0B"/>
    <w:rsid w:val="38871C41"/>
    <w:rsid w:val="38993E43"/>
    <w:rsid w:val="38995E18"/>
    <w:rsid w:val="396D25ED"/>
    <w:rsid w:val="39C872B8"/>
    <w:rsid w:val="3A0B4AF4"/>
    <w:rsid w:val="3A8373E6"/>
    <w:rsid w:val="3B346B06"/>
    <w:rsid w:val="3B790C66"/>
    <w:rsid w:val="3CCF61D5"/>
    <w:rsid w:val="3E10092B"/>
    <w:rsid w:val="3EE94E91"/>
    <w:rsid w:val="401933BF"/>
    <w:rsid w:val="401B49F1"/>
    <w:rsid w:val="407C2246"/>
    <w:rsid w:val="40CC5ECD"/>
    <w:rsid w:val="41B8341B"/>
    <w:rsid w:val="41CA6631"/>
    <w:rsid w:val="4216234A"/>
    <w:rsid w:val="42913872"/>
    <w:rsid w:val="42C67AC2"/>
    <w:rsid w:val="42E64203"/>
    <w:rsid w:val="43DB70C2"/>
    <w:rsid w:val="44743BF0"/>
    <w:rsid w:val="448A4217"/>
    <w:rsid w:val="453C0B5F"/>
    <w:rsid w:val="4544519C"/>
    <w:rsid w:val="45466415"/>
    <w:rsid w:val="46606607"/>
    <w:rsid w:val="46B02CAB"/>
    <w:rsid w:val="478443ED"/>
    <w:rsid w:val="47C14A44"/>
    <w:rsid w:val="48475477"/>
    <w:rsid w:val="48AD296E"/>
    <w:rsid w:val="4933371F"/>
    <w:rsid w:val="49741140"/>
    <w:rsid w:val="49E11794"/>
    <w:rsid w:val="49F16E0B"/>
    <w:rsid w:val="49F45690"/>
    <w:rsid w:val="4A2405CE"/>
    <w:rsid w:val="4A7D1CB1"/>
    <w:rsid w:val="4ACB29B1"/>
    <w:rsid w:val="4AD93845"/>
    <w:rsid w:val="4AF72C27"/>
    <w:rsid w:val="4B074E64"/>
    <w:rsid w:val="4C2E5F56"/>
    <w:rsid w:val="4C8C20EA"/>
    <w:rsid w:val="4C95730F"/>
    <w:rsid w:val="4CA046F7"/>
    <w:rsid w:val="4D566987"/>
    <w:rsid w:val="4D72579F"/>
    <w:rsid w:val="4EC17644"/>
    <w:rsid w:val="4ED11A10"/>
    <w:rsid w:val="4F2C520F"/>
    <w:rsid w:val="4F3B50DC"/>
    <w:rsid w:val="4F9801E7"/>
    <w:rsid w:val="500804F0"/>
    <w:rsid w:val="501723E6"/>
    <w:rsid w:val="5070394F"/>
    <w:rsid w:val="50812FC2"/>
    <w:rsid w:val="50DC22A0"/>
    <w:rsid w:val="526B23B2"/>
    <w:rsid w:val="52B64033"/>
    <w:rsid w:val="541A5D36"/>
    <w:rsid w:val="544431D4"/>
    <w:rsid w:val="55B87767"/>
    <w:rsid w:val="55E90704"/>
    <w:rsid w:val="571D1541"/>
    <w:rsid w:val="57230952"/>
    <w:rsid w:val="57376AD1"/>
    <w:rsid w:val="57522A51"/>
    <w:rsid w:val="580C6F3F"/>
    <w:rsid w:val="59875B51"/>
    <w:rsid w:val="59DF66FA"/>
    <w:rsid w:val="5A653BEA"/>
    <w:rsid w:val="5B73507F"/>
    <w:rsid w:val="5C1678E0"/>
    <w:rsid w:val="5D467A6D"/>
    <w:rsid w:val="5D88074A"/>
    <w:rsid w:val="5E2A6DD5"/>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9244882"/>
    <w:rsid w:val="69987A59"/>
    <w:rsid w:val="69DD59B8"/>
    <w:rsid w:val="6AB563C0"/>
    <w:rsid w:val="6ACB5B2B"/>
    <w:rsid w:val="6AD63EF6"/>
    <w:rsid w:val="6B8159D3"/>
    <w:rsid w:val="6C095DA4"/>
    <w:rsid w:val="6E244BCE"/>
    <w:rsid w:val="6E6E390B"/>
    <w:rsid w:val="6F370F32"/>
    <w:rsid w:val="6FDD7C1E"/>
    <w:rsid w:val="6FE55F13"/>
    <w:rsid w:val="71151DE4"/>
    <w:rsid w:val="71774396"/>
    <w:rsid w:val="71890927"/>
    <w:rsid w:val="71AC4A9F"/>
    <w:rsid w:val="72044E22"/>
    <w:rsid w:val="72841C5F"/>
    <w:rsid w:val="72B70565"/>
    <w:rsid w:val="73D20082"/>
    <w:rsid w:val="74B67236"/>
    <w:rsid w:val="750232A8"/>
    <w:rsid w:val="7570758F"/>
    <w:rsid w:val="75F16FE0"/>
    <w:rsid w:val="75F82D28"/>
    <w:rsid w:val="76B348A4"/>
    <w:rsid w:val="77CC339C"/>
    <w:rsid w:val="7A1B7966"/>
    <w:rsid w:val="7A28257D"/>
    <w:rsid w:val="7B65103C"/>
    <w:rsid w:val="7BE57BFA"/>
    <w:rsid w:val="7BF33070"/>
    <w:rsid w:val="7BF548BF"/>
    <w:rsid w:val="7C8B425B"/>
    <w:rsid w:val="7CB1418D"/>
    <w:rsid w:val="7E623396"/>
    <w:rsid w:val="7ECD35DF"/>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annotation text"/>
    <w:basedOn w:val="1"/>
    <w:qFormat/>
    <w:uiPriority w:val="0"/>
    <w:pPr>
      <w:jc w:val="left"/>
    </w:pPr>
  </w:style>
  <w:style w:type="paragraph" w:styleId="6">
    <w:name w:val="Body Text"/>
    <w:basedOn w:val="1"/>
    <w:unhideWhenUsed/>
    <w:qFormat/>
    <w:uiPriority w:val="99"/>
    <w:pPr>
      <w:spacing w:after="120" w:afterLines="0" w:afterAutospacing="0"/>
    </w:pPr>
  </w:style>
  <w:style w:type="paragraph" w:styleId="7">
    <w:name w:val="Body Text Indent"/>
    <w:basedOn w:val="1"/>
    <w:qFormat/>
    <w:uiPriority w:val="0"/>
    <w:pPr>
      <w:spacing w:after="120"/>
      <w:ind w:left="420" w:leftChars="200"/>
    </w:pPr>
    <w:rPr>
      <w:kern w:val="0"/>
      <w:sz w:val="20"/>
      <w:szCs w:val="24"/>
    </w:rPr>
  </w:style>
  <w:style w:type="paragraph" w:styleId="8">
    <w:name w:val="Plain Text"/>
    <w:basedOn w:val="1"/>
    <w:next w:val="6"/>
    <w:qFormat/>
    <w:uiPriority w:val="99"/>
    <w:pPr>
      <w:widowControl/>
      <w:spacing w:before="100" w:beforeAutospacing="1" w:after="100" w:afterAutospacing="1"/>
      <w:jc w:val="left"/>
    </w:pPr>
    <w:rPr>
      <w:rFonts w:ascii="Arial Unicode MS" w:hAnsi="Arial Unicode MS"/>
      <w:kern w:val="0"/>
      <w:sz w:val="24"/>
      <w:szCs w:val="24"/>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6"/>
    <w:basedOn w:val="1"/>
    <w:next w:val="1"/>
    <w:qFormat/>
    <w:uiPriority w:val="99"/>
    <w:pPr>
      <w:ind w:left="2100" w:leftChars="1000"/>
    </w:pPr>
    <w:rPr>
      <w:rFonts w:ascii="Calibri" w:hAnsi="Calibri"/>
      <w:szCs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6"/>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4">
    <w:name w:val="Body Text First Indent 2"/>
    <w:basedOn w:val="7"/>
    <w:qFormat/>
    <w:uiPriority w:val="0"/>
    <w:pPr>
      <w:tabs>
        <w:tab w:val="left" w:pos="0"/>
        <w:tab w:val="left" w:pos="993"/>
        <w:tab w:val="left" w:pos="1134"/>
        <w:tab w:val="left" w:pos="7060"/>
      </w:tabs>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9">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20">
    <w:name w:val="_Style 1"/>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4944ED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024D6DE7">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7BAA3B79">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26C32FFF">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435742B0">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60DF95CF">
          <w:r>
            <w:rPr>
              <w:color w:val="808080"/>
            </w:rPr>
            <w:t>单击此处输入文字。</w:t>
          </w:r>
        </w:p>
      </w:docPartBody>
    </w:docPart>
    <w:docPart>
      <w:docPartPr>
        <w:name w:val="{56c12599-afb4-4876-b32e-87b093cc14f8}"/>
        <w:style w:val=""/>
        <w:category>
          <w:name w:val="常规"/>
          <w:gallery w:val="placeholder"/>
        </w:category>
        <w:types>
          <w:type w:val="bbPlcHdr"/>
        </w:types>
        <w:behaviors>
          <w:behavior w:val="content"/>
        </w:behaviors>
        <w:description w:val=""/>
        <w:guid w:val="{56c12599-afb4-4876-b32e-87b093cc14f8}"/>
      </w:docPartPr>
      <w:docPartBody>
        <w:p w14:paraId="26CFE4D9">
          <w:r>
            <w:rPr>
              <w:color w:val="808080"/>
            </w:rPr>
            <w:t>单击此处输入文字。</w:t>
          </w:r>
        </w:p>
      </w:docPartBody>
    </w:docPart>
    <w:docPart>
      <w:docPartPr>
        <w:name w:val="{ae7458f0-5509-42cb-8e3e-ec16bc3e09bf}"/>
        <w:style w:val=""/>
        <w:category>
          <w:name w:val="常规"/>
          <w:gallery w:val="placeholder"/>
        </w:category>
        <w:types>
          <w:type w:val="bbPlcHdr"/>
        </w:types>
        <w:behaviors>
          <w:behavior w:val="content"/>
        </w:behaviors>
        <w:description w:val=""/>
        <w:guid w:val="{ae7458f0-5509-42cb-8e3e-ec16bc3e09bf}"/>
      </w:docPartPr>
      <w:docPartBody>
        <w:p w14:paraId="139BA0CB">
          <w:r>
            <w:rPr>
              <w:color w:val="808080"/>
            </w:rPr>
            <w:t>单击此处输入文字。</w:t>
          </w:r>
        </w:p>
      </w:docPartBody>
    </w:docPart>
    <w:docPart>
      <w:docPartPr>
        <w:name w:val="{c96615d7-df41-4647-92e7-2c0955a40ebb}"/>
        <w:style w:val=""/>
        <w:category>
          <w:name w:val="常规"/>
          <w:gallery w:val="placeholder"/>
        </w:category>
        <w:types>
          <w:type w:val="bbPlcHdr"/>
        </w:types>
        <w:behaviors>
          <w:behavior w:val="content"/>
        </w:behaviors>
        <w:description w:val=""/>
        <w:guid w:val="{c96615d7-df41-4647-92e7-2c0955a40ebb}"/>
      </w:docPartPr>
      <w:docPartBody>
        <w:p w14:paraId="2EF2D53C">
          <w:r>
            <w:rPr>
              <w:color w:val="808080"/>
            </w:rPr>
            <w:t>单击此处输入文字。</w:t>
          </w:r>
        </w:p>
      </w:docPartBody>
    </w:docPart>
    <w:docPart>
      <w:docPartPr>
        <w:name w:val="{7c32003c-8b9e-4275-a650-6d192367af5a}"/>
        <w:style w:val=""/>
        <w:category>
          <w:name w:val="常规"/>
          <w:gallery w:val="placeholder"/>
        </w:category>
        <w:types>
          <w:type w:val="bbPlcHdr"/>
        </w:types>
        <w:behaviors>
          <w:behavior w:val="content"/>
        </w:behaviors>
        <w:description w:val=""/>
        <w:guid w:val="{7c32003c-8b9e-4275-a650-6d192367af5a}"/>
      </w:docPartPr>
      <w:docPartBody>
        <w:p w14:paraId="314A9025">
          <w:r>
            <w:rPr>
              <w:color w:val="808080"/>
            </w:rPr>
            <w:t>单击此处输入文字。</w:t>
          </w:r>
        </w:p>
      </w:docPartBody>
    </w:docPart>
    <w:docPart>
      <w:docPartPr>
        <w:name w:val="{736170aa-8624-427a-b7b9-18d63a0811e3}"/>
        <w:style w:val=""/>
        <w:category>
          <w:name w:val="常规"/>
          <w:gallery w:val="placeholder"/>
        </w:category>
        <w:types>
          <w:type w:val="bbPlcHdr"/>
        </w:types>
        <w:behaviors>
          <w:behavior w:val="content"/>
        </w:behaviors>
        <w:description w:val=""/>
        <w:guid w:val="{736170aa-8624-427a-b7b9-18d63a0811e3}"/>
      </w:docPartPr>
      <w:docPartBody>
        <w:p w14:paraId="4A5E78E6">
          <w:r>
            <w:rPr>
              <w:color w:val="808080"/>
            </w:rPr>
            <w:t>单击此处输入文字。</w:t>
          </w:r>
        </w:p>
      </w:docPartBody>
    </w:docPart>
    <w:docPart>
      <w:docPartPr>
        <w:name w:val="{4d20eb73-d645-438e-b373-8aa2a9cf6e56}"/>
        <w:style w:val=""/>
        <w:category>
          <w:name w:val="常规"/>
          <w:gallery w:val="placeholder"/>
        </w:category>
        <w:types>
          <w:type w:val="bbPlcHdr"/>
        </w:types>
        <w:behaviors>
          <w:behavior w:val="content"/>
        </w:behaviors>
        <w:description w:val=""/>
        <w:guid w:val="{4d20eb73-d645-438e-b373-8aa2a9cf6e56}"/>
      </w:docPartPr>
      <w:docPartBody>
        <w:p w14:paraId="3DD1742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1196</Words>
  <Characters>1240</Characters>
  <Lines>0</Lines>
  <Paragraphs>0</Paragraphs>
  <TotalTime>0</TotalTime>
  <ScaleCrop>false</ScaleCrop>
  <LinksUpToDate>false</LinksUpToDate>
  <CharactersWithSpaces>1267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经招标人确认钢结构确已排产后支付30万元，钢结构加工完成经招标人确认具备吊装条件后支付70万元，膜结构备货完成经招标人确认后支付20万元，主体钢结构及膜结构安装完成并具备室内装修条件支付150万元（工人工资应按照公司规定打卡考勤并优先支付，否则招标人有权不予支付），合同内容全部完成并提交竣工结算后支付40万元（工人工资应按照公司规定打卡考勤并优先支付，否则招标人有权不予支付）。工程审计完成后5日内完成最终结算，支付至最终结算总金额的95%，支付时须提供工程结算金额100%的进项发票，否则公司有权不予付款；尾款待保修期全部满后付清（无息）。</dc:creator>
  <dc:description>湖州市南浔区生态酒店旁（招标人指定地点）</dc:description>
  <cp:keywords>生态酒店网球场膜结构采购项目</cp:keywords>
  <cp:lastModifiedBy>微信用户</cp:lastModifiedBy>
  <cp:lastPrinted>2024-10-29T03:11:00Z</cp:lastPrinted>
  <dcterms:modified xsi:type="dcterms:W3CDTF">2024-12-14T04:25:00Z</dcterms:modified>
  <dc:subject>网球场钢结构膜结构所需货物采购及安装，包括钢结构、预埋件、膜结构等，具体详见施工图纸，本招标文件后附清单作为参考。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6B2914C4DE8C425DA166B7B88EC803C7_13</vt:lpwstr>
  </property>
</Properties>
</file>