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179632530"/>
      <w:bookmarkStart w:id="2" w:name="_Toc246996160"/>
      <w:bookmarkStart w:id="3" w:name="_Toc247085674"/>
      <w:bookmarkStart w:id="4" w:name="_Toc152045514"/>
      <w:bookmarkStart w:id="5" w:name="_Toc449509649"/>
      <w:bookmarkStart w:id="6" w:name="_Toc246996903"/>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湖州南浔城市投资发展集团有限公司花木租赁明细(南浔金融中心)</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2024-N-161-下01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湖州南浔城市投资发展集团有限公司花木租赁明细(南浔金融中心)</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浙江兴上合城市开发集团有限公司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花木租赁</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1年（具体以签订合同的时间为准）</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湖州市南浔区南浔镇年丰路1388号（南浔金融中心  1、2、3、20、21、22楼）</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花木租赁（品种详见附件） 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default"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 </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yellow"/>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合同签订后， 2025年6月30日之前支付总租赁费用的50%，剩余款项按履约情况农历年底支付。</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yellow"/>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yellow"/>
                <w:u w:val="none"/>
                <w:vertAlign w:val="baseline"/>
                <w:lang w:val="en-US" w:eastAsia="zh-CN"/>
              </w:rPr>
              <w:t>42157.5元</w:t>
            </w:r>
            <w:r>
              <w:rPr>
                <w:rFonts w:hint="eastAsia" w:ascii="仿宋_GB2312" w:hAnsi="仿宋_GB2312" w:eastAsia="仿宋_GB2312" w:cs="仿宋_GB2312"/>
                <w:sz w:val="28"/>
                <w:szCs w:val="28"/>
                <w:highlight w:val="yellow"/>
                <w:lang w:val="en-US" w:eastAsia="zh-CN"/>
              </w:rPr>
              <w:t>×(1-中标下浮率)-其他款项</w:t>
            </w:r>
            <w:r>
              <w:rPr>
                <w:rFonts w:hint="eastAsia" w:ascii="仿宋_GB2312" w:hAnsi="仿宋_GB2312" w:eastAsia="仿宋_GB2312" w:cs="仿宋_GB2312"/>
                <w:sz w:val="28"/>
                <w:szCs w:val="28"/>
                <w:highlight w:val="none"/>
                <w:lang w:val="en-US" w:eastAsia="zh-CN"/>
              </w:rPr>
              <w:t>，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yellow"/>
                <w:lang w:val="en-US" w:eastAsia="zh-CN"/>
              </w:rPr>
              <w:t>2</w:t>
            </w:r>
            <w:r>
              <w:rPr>
                <w:rFonts w:hint="default" w:ascii="仿宋_GB2312" w:hAnsi="仿宋_GB2312" w:eastAsia="仿宋_GB2312" w:cs="仿宋_GB2312"/>
                <w:color w:val="auto"/>
                <w:sz w:val="28"/>
                <w:szCs w:val="28"/>
                <w:highlight w:val="yellow"/>
                <w:lang w:eastAsia="zh-CN"/>
              </w:rPr>
              <w:t>、如招标人与业主单位发生争议的，招标人据此产生的诉讼费、律师费、财产保全需要购买保单的保险费等均由投标人承担，并直接从应支付给投标人的款项中扣除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yellow"/>
                <w:lang w:val="en-US" w:eastAsia="zh-CN"/>
              </w:rPr>
              <w:t>。</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营业执照经营范围需与营业执照经营范围与花木租赁、花卉绿植租摆有关。</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   </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控制价为</w:t>
            </w:r>
            <w:r>
              <w:rPr>
                <w:rFonts w:hint="eastAsia" w:ascii="仿宋_GB2312" w:hAnsi="仿宋_GB2312" w:eastAsia="仿宋_GB2312" w:cs="仿宋_GB2312"/>
                <w:sz w:val="28"/>
                <w:szCs w:val="28"/>
                <w:highlight w:val="yellow"/>
                <w:u w:val="none"/>
                <w:vertAlign w:val="baseline"/>
                <w:lang w:val="en-US" w:eastAsia="zh-CN"/>
              </w:rPr>
              <w:t>42157.5元</w:t>
            </w:r>
            <w:r>
              <w:rPr>
                <w:rFonts w:hint="eastAsia" w:ascii="仿宋_GB2312" w:hAnsi="仿宋_GB2312" w:eastAsia="仿宋_GB2312" w:cs="仿宋_GB2312"/>
                <w:color w:val="000000"/>
                <w:sz w:val="28"/>
                <w:szCs w:val="28"/>
                <w:highlight w:val="yellow"/>
              </w:rPr>
              <w:t>（</w:t>
            </w:r>
            <w:bookmarkStart w:id="12" w:name="_GoBack"/>
            <w:r>
              <w:rPr>
                <w:rFonts w:hint="eastAsia" w:ascii="仿宋_GB2312" w:hAnsi="仿宋_GB2312" w:eastAsia="仿宋_GB2312" w:cs="仿宋_GB2312"/>
                <w:color w:val="000000"/>
                <w:sz w:val="28"/>
                <w:szCs w:val="28"/>
                <w:highlight w:val="yellow"/>
                <w:lang w:val="en-US" w:eastAsia="zh-CN"/>
              </w:rPr>
              <w:t>在招标控制价的基础上报下浮率）且各单价也不得超过清单中的单价的控制价（详见控制价清单，单价与总价需同比例下浮</w:t>
            </w:r>
            <w:bookmarkEnd w:id="12"/>
            <w:r>
              <w:rPr>
                <w:rFonts w:hint="eastAsia" w:ascii="仿宋_GB2312" w:hAnsi="仿宋_GB2312" w:eastAsia="仿宋_GB2312" w:cs="仿宋_GB2312"/>
                <w:color w:val="000000"/>
                <w:sz w:val="28"/>
                <w:szCs w:val="28"/>
                <w:highlight w:val="yellow"/>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w:t>
            </w:r>
            <w:r>
              <w:rPr>
                <w:rFonts w:hint="eastAsia" w:ascii="仿宋_GB2312" w:hAnsi="仿宋_GB2312" w:eastAsia="仿宋_GB2312" w:cs="仿宋_GB2312"/>
                <w:color w:val="000000"/>
                <w:sz w:val="28"/>
                <w:szCs w:val="28"/>
                <w:highlight w:val="none"/>
                <w:lang w:val="en-US" w:eastAsia="zh-CN"/>
              </w:rPr>
              <w:t>高于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，否则作为废标处理</w:t>
            </w:r>
            <w:r>
              <w:rPr>
                <w:rFonts w:hint="eastAsia" w:ascii="仿宋_GB2312" w:hAnsi="仿宋_GB2312" w:eastAsia="仿宋_GB2312" w:cs="仿宋_GB2312"/>
                <w:color w:val="000000"/>
                <w:sz w:val="28"/>
                <w:szCs w:val="28"/>
                <w:highlight w:val="none"/>
                <w:lang w:eastAsia="zh-CN"/>
              </w:rPr>
              <w:t>。</w:t>
            </w:r>
          </w:p>
          <w:p w14:paraId="584D7A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注：此价格已包含全程式绿化租赁布置和养护管理服务，即：花木租赁、设计、运输、搬运、摆放、更换、日常养护、人工、利润、税金等一切费用。</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 xml:space="preserve"> 30</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1、《投标函》、《报价清单》</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yellow"/>
                <w:lang w:val="en-US" w:eastAsia="zh-CN"/>
              </w:rPr>
              <w:t>《投标保证金打款证明》</w:t>
            </w:r>
            <w:r>
              <w:rPr>
                <w:rFonts w:hint="eastAsia" w:ascii="仿宋_GB2312" w:hAnsi="仿宋_GB2312" w:eastAsia="仿宋_GB2312" w:cs="仿宋_GB2312"/>
                <w:color w:val="auto"/>
                <w:sz w:val="28"/>
                <w:szCs w:val="28"/>
                <w:highlight w:val="none"/>
                <w:lang w:val="en-US" w:eastAsia="zh-CN"/>
              </w:rPr>
              <w:t>（本次招标无）</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安全生产许可证复印件（本次招标无）</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1D5F0A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第二步，启封，宣读各单位投标报价</w:t>
      </w:r>
      <w:r>
        <w:rPr>
          <w:rFonts w:hint="eastAsia" w:ascii="仿宋_GB2312" w:hAnsi="仿宋_GB2312" w:eastAsia="仿宋_GB2312" w:cs="仿宋_GB2312"/>
          <w:sz w:val="28"/>
          <w:szCs w:val="28"/>
          <w:highlight w:val="none"/>
        </w:rPr>
        <w:t>。</w:t>
      </w:r>
    </w:p>
    <w:p w14:paraId="1AEBA74D">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第三步，对投标人的资信部分进行审查，审查内容包含但不限于投标人营业执照及资质的真实性和有效性、以及投标文件内容的真实性和有效性等；审查满足要求的</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w:t>
      </w:r>
      <w:r>
        <w:rPr>
          <w:rFonts w:hint="eastAsia" w:ascii="仿宋_GB2312" w:hAnsi="仿宋_GB2312" w:eastAsia="仿宋_GB2312" w:cs="仿宋_GB2312"/>
          <w:sz w:val="28"/>
          <w:szCs w:val="28"/>
          <w:highlight w:val="none"/>
        </w:rPr>
        <w:t>二次谈判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若不满5家，满足要求的单位全部进入二次谈判</w:t>
      </w:r>
      <w:r>
        <w:rPr>
          <w:rFonts w:hint="eastAsia" w:ascii="仿宋_GB2312" w:hAnsi="仿宋_GB2312" w:eastAsia="仿宋_GB2312" w:cs="仿宋_GB2312"/>
          <w:sz w:val="28"/>
          <w:szCs w:val="28"/>
          <w:highlight w:val="none"/>
        </w:rPr>
        <w:t>。</w:t>
      </w:r>
    </w:p>
    <w:p w14:paraId="20EC8C29">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四</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进行</w:t>
      </w:r>
      <w:r>
        <w:rPr>
          <w:rFonts w:hint="eastAsia" w:ascii="仿宋_GB2312" w:hAnsi="仿宋_GB2312" w:eastAsia="仿宋_GB2312" w:cs="仿宋_GB2312"/>
          <w:kern w:val="2"/>
          <w:sz w:val="28"/>
          <w:szCs w:val="28"/>
          <w:highlight w:val="none"/>
        </w:rPr>
        <w:t>二次</w:t>
      </w:r>
      <w:r>
        <w:rPr>
          <w:rFonts w:hint="eastAsia" w:ascii="仿宋_GB2312" w:hAnsi="仿宋_GB2312" w:eastAsia="仿宋_GB2312" w:cs="仿宋_GB2312"/>
          <w:kern w:val="2"/>
          <w:sz w:val="28"/>
          <w:szCs w:val="28"/>
          <w:highlight w:val="none"/>
          <w:lang w:val="en-US" w:eastAsia="zh-CN"/>
        </w:rPr>
        <w:t>报价</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宣读各单位</w:t>
      </w:r>
      <w:r>
        <w:rPr>
          <w:rFonts w:hint="eastAsia" w:ascii="仿宋_GB2312" w:hAnsi="仿宋_GB2312" w:eastAsia="仿宋_GB2312" w:cs="仿宋_GB2312"/>
          <w:kern w:val="2"/>
          <w:sz w:val="28"/>
          <w:szCs w:val="28"/>
          <w:highlight w:val="none"/>
          <w:lang w:val="en-US" w:eastAsia="zh-CN"/>
        </w:rPr>
        <w:t>二轮</w:t>
      </w:r>
      <w:r>
        <w:rPr>
          <w:rFonts w:hint="eastAsia" w:ascii="仿宋_GB2312" w:hAnsi="仿宋_GB2312" w:eastAsia="仿宋_GB2312" w:cs="仿宋_GB2312"/>
          <w:kern w:val="2"/>
          <w:sz w:val="28"/>
          <w:szCs w:val="28"/>
          <w:highlight w:val="none"/>
        </w:rPr>
        <w:t>投标报价</w:t>
      </w:r>
      <w:r>
        <w:rPr>
          <w:rFonts w:hint="eastAsia" w:ascii="仿宋_GB2312" w:hAnsi="仿宋_GB2312" w:eastAsia="仿宋_GB2312" w:cs="仿宋_GB2312"/>
          <w:kern w:val="2"/>
          <w:sz w:val="28"/>
          <w:szCs w:val="28"/>
          <w:highlight w:val="none"/>
          <w:lang w:eastAsia="zh-CN"/>
        </w:rPr>
        <w:t>。</w:t>
      </w:r>
    </w:p>
    <w:p w14:paraId="7756CC33">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第五步，</w:t>
      </w:r>
      <w:r>
        <w:rPr>
          <w:rFonts w:hint="eastAsia"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val="en-US" w:eastAsia="zh-CN"/>
        </w:rPr>
        <w:t>入围</w:t>
      </w:r>
      <w:r>
        <w:rPr>
          <w:rFonts w:hint="eastAsia" w:ascii="仿宋_GB2312" w:hAnsi="仿宋_GB2312" w:eastAsia="仿宋_GB2312" w:cs="仿宋_GB2312"/>
          <w:sz w:val="28"/>
          <w:szCs w:val="28"/>
          <w:highlight w:val="none"/>
        </w:rPr>
        <w:t>投标人的</w:t>
      </w:r>
      <w:r>
        <w:rPr>
          <w:rFonts w:hint="eastAsia" w:ascii="仿宋_GB2312" w:hAnsi="仿宋_GB2312" w:eastAsia="仿宋_GB2312" w:cs="仿宋_GB2312"/>
          <w:sz w:val="28"/>
          <w:szCs w:val="28"/>
          <w:highlight w:val="none"/>
          <w:lang w:val="en-US" w:eastAsia="zh-CN"/>
        </w:rPr>
        <w:t>二轮报价进行评分。</w:t>
      </w:r>
    </w:p>
    <w:p w14:paraId="1CB520B5">
      <w:pPr>
        <w:pStyle w:val="10"/>
        <w:spacing w:before="0" w:beforeAutospacing="0" w:after="0" w:afterAutospacing="0" w:line="4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highlight w:val="none"/>
          <w:lang w:val="en-US" w:eastAsia="zh-CN"/>
        </w:rPr>
        <w:t>第六步，确定中标人。</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54A448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本工程报价总分100分</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（1）第一轮报价按以下标准评定。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A3E5174">
      <w:pPr>
        <w:numPr>
          <w:ilvl w:val="0"/>
          <w:numId w:val="2"/>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二轮商务报价评定：有效报价的最低值为评标基准价，有效投标报价的最低报价排名为第一名，其余有效投标报价按从低到高依次排名</w:t>
      </w:r>
      <w:r>
        <w:rPr>
          <w:rFonts w:hint="eastAsia" w:ascii="仿宋_GB2312" w:hAnsi="仿宋_GB2312" w:eastAsia="仿宋_GB2312" w:cs="仿宋_GB2312"/>
          <w:sz w:val="28"/>
          <w:szCs w:val="28"/>
          <w:highlight w:val="none"/>
          <w:lang w:eastAsia="zh-CN"/>
        </w:rPr>
        <w:t>。</w:t>
      </w:r>
    </w:p>
    <w:p w14:paraId="129718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附件1：《花木租赁合同》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560" w:firstLineChars="200"/>
        <w:jc w:val="left"/>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auto"/>
          <w:sz w:val="28"/>
          <w:szCs w:val="28"/>
          <w:lang w:val="en-US" w:eastAsia="zh-CN"/>
        </w:rPr>
        <w:t>附件2：报价清单</w:t>
      </w: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将</w:t>
      </w:r>
      <w:r>
        <w:rPr>
          <w:rFonts w:hint="eastAsia" w:ascii="仿宋_GB2312" w:hAnsi="仿宋_GB2312" w:eastAsia="仿宋_GB2312" w:cs="仿宋_GB2312"/>
          <w:snapToGrid w:val="0"/>
          <w:kern w:val="0"/>
          <w:sz w:val="28"/>
          <w:szCs w:val="28"/>
        </w:rPr>
        <w:t>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208D6BD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22E3508">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F8626A4">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46082142">
      <w:pPr>
        <w:jc w:val="center"/>
        <w:rPr>
          <w:rFonts w:hint="eastAsia" w:ascii="仿宋" w:hAnsi="仿宋" w:eastAsia="仿宋" w:cs="仿宋"/>
          <w:b/>
          <w:sz w:val="32"/>
          <w:szCs w:val="32"/>
        </w:rPr>
      </w:pPr>
      <w:r>
        <w:rPr>
          <w:rFonts w:hint="eastAsia" w:ascii="仿宋" w:hAnsi="仿宋" w:eastAsia="仿宋" w:cs="仿宋"/>
          <w:b/>
          <w:sz w:val="32"/>
          <w:szCs w:val="32"/>
        </w:rPr>
        <w:t>花木租赁合同</w:t>
      </w:r>
    </w:p>
    <w:p w14:paraId="49BFE55F">
      <w:pPr>
        <w:jc w:val="center"/>
        <w:rPr>
          <w:rFonts w:hint="eastAsia" w:ascii="仿宋" w:hAnsi="仿宋" w:eastAsia="仿宋" w:cs="仿宋"/>
          <w:b/>
          <w:sz w:val="18"/>
          <w:szCs w:val="18"/>
        </w:rPr>
      </w:pPr>
    </w:p>
    <w:p w14:paraId="308D1655">
      <w:pPr>
        <w:spacing w:line="360" w:lineRule="auto"/>
        <w:rPr>
          <w:rFonts w:hint="eastAsia" w:ascii="仿宋" w:hAnsi="仿宋" w:eastAsia="仿宋" w:cs="仿宋"/>
          <w:sz w:val="24"/>
          <w:u w:val="single"/>
        </w:rPr>
      </w:pPr>
      <w:r>
        <w:rPr>
          <w:rFonts w:hint="eastAsia" w:ascii="仿宋" w:hAnsi="仿宋" w:eastAsia="仿宋" w:cs="仿宋"/>
          <w:sz w:val="24"/>
        </w:rPr>
        <w:t>甲方（承租方）：</w:t>
      </w:r>
      <w:r>
        <w:rPr>
          <w:rFonts w:hint="eastAsia" w:ascii="仿宋" w:hAnsi="仿宋" w:eastAsia="仿宋" w:cs="仿宋"/>
          <w:sz w:val="24"/>
          <w:u w:val="single"/>
        </w:rPr>
        <w:t xml:space="preserve"> </w:t>
      </w:r>
      <w:r>
        <w:rPr>
          <w:rFonts w:hint="eastAsia" w:ascii="仿宋" w:hAnsi="仿宋" w:eastAsia="仿宋" w:cs="仿宋"/>
          <w:color w:val="171A1D"/>
          <w:sz w:val="24"/>
          <w:u w:val="single"/>
          <w:shd w:val="clear" w:color="auto" w:fill="FFFFFF"/>
        </w:rPr>
        <w:t>湖州南浔城投城市建设集团有限公司</w:t>
      </w:r>
      <w:r>
        <w:rPr>
          <w:rFonts w:hint="eastAsia" w:ascii="仿宋" w:hAnsi="仿宋" w:eastAsia="仿宋" w:cs="仿宋"/>
          <w:sz w:val="24"/>
          <w:u w:val="single"/>
        </w:rPr>
        <w:t xml:space="preserve"> </w:t>
      </w:r>
    </w:p>
    <w:p w14:paraId="1BA10D30">
      <w:pPr>
        <w:spacing w:line="360" w:lineRule="auto"/>
        <w:rPr>
          <w:rFonts w:hint="eastAsia" w:ascii="仿宋" w:hAnsi="仿宋" w:eastAsia="仿宋" w:cs="仿宋"/>
          <w:sz w:val="24"/>
          <w:u w:val="single"/>
          <w:lang w:val="en-US" w:eastAsia="zh-CN"/>
        </w:rPr>
      </w:pPr>
      <w:r>
        <w:rPr>
          <w:rFonts w:hint="eastAsia" w:ascii="仿宋" w:hAnsi="仿宋" w:eastAsia="仿宋" w:cs="仿宋"/>
          <w:sz w:val="24"/>
        </w:rPr>
        <w:t>乙方（出租方）：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51720A0A">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甲方为了改善及美化环境，委托乙方承担室内绿化环境布置及养护和管理，为明确双方的职责，加强配合，根据《中华人民共和国民法典》及绿化管理有关规定，经双方协商同意，签定本合同，以资共同遵守。</w:t>
      </w:r>
    </w:p>
    <w:p w14:paraId="510F76BD">
      <w:pPr>
        <w:spacing w:line="360" w:lineRule="auto"/>
        <w:rPr>
          <w:rFonts w:hint="eastAsia" w:ascii="仿宋" w:hAnsi="仿宋" w:eastAsia="仿宋" w:cs="仿宋"/>
          <w:sz w:val="24"/>
          <w:lang w:val="en-US" w:eastAsia="zh-CN"/>
        </w:rPr>
      </w:pPr>
      <w:r>
        <w:rPr>
          <w:rFonts w:hint="eastAsia" w:ascii="仿宋" w:hAnsi="仿宋" w:eastAsia="仿宋" w:cs="仿宋"/>
          <w:b/>
          <w:bCs/>
          <w:sz w:val="24"/>
        </w:rPr>
        <w:t>一、租赁的花木</w:t>
      </w:r>
      <w:r>
        <w:rPr>
          <w:rFonts w:hint="eastAsia" w:ascii="仿宋" w:hAnsi="仿宋" w:eastAsia="仿宋" w:cs="仿宋"/>
          <w:b/>
          <w:bCs/>
          <w:sz w:val="24"/>
          <w:lang w:val="en-US" w:eastAsia="zh-CN"/>
        </w:rPr>
        <w:t>清单</w:t>
      </w:r>
    </w:p>
    <w:p w14:paraId="126ECB19">
      <w:pPr>
        <w:rPr>
          <w:rFonts w:hint="eastAsia" w:ascii="仿宋" w:hAnsi="仿宋" w:eastAsia="仿宋" w:cs="仿宋"/>
          <w:sz w:val="24"/>
          <w:lang w:eastAsia="zh-CN"/>
        </w:rPr>
      </w:pPr>
      <w:r>
        <w:rPr>
          <w:rFonts w:hint="eastAsia" w:ascii="仿宋" w:hAnsi="仿宋" w:eastAsia="仿宋" w:cs="仿宋"/>
          <w:sz w:val="24"/>
        </w:rPr>
        <w:t>2024年度湖州南浔城市投资发展集团有限公司花木租赁明细(南浔金融中心)</w:t>
      </w:r>
      <w:r>
        <w:rPr>
          <w:rFonts w:hint="eastAsia" w:ascii="仿宋" w:hAnsi="仿宋" w:eastAsia="仿宋" w:cs="仿宋"/>
          <w:sz w:val="24"/>
          <w:lang w:eastAsia="zh-CN"/>
        </w:rPr>
        <w:t>（</w:t>
      </w:r>
      <w:r>
        <w:rPr>
          <w:rFonts w:hint="eastAsia" w:ascii="仿宋" w:hAnsi="仿宋" w:eastAsia="仿宋" w:cs="仿宋"/>
          <w:sz w:val="24"/>
          <w:lang w:val="en-US" w:eastAsia="zh-CN"/>
        </w:rPr>
        <w:t>详见附件</w:t>
      </w:r>
      <w:r>
        <w:rPr>
          <w:rFonts w:hint="eastAsia" w:ascii="仿宋" w:hAnsi="仿宋" w:eastAsia="仿宋" w:cs="仿宋"/>
          <w:sz w:val="24"/>
          <w:lang w:eastAsia="zh-CN"/>
        </w:rPr>
        <w:t>）</w:t>
      </w:r>
    </w:p>
    <w:p w14:paraId="0D394F53">
      <w:pPr>
        <w:spacing w:line="360" w:lineRule="auto"/>
        <w:rPr>
          <w:rFonts w:hint="eastAsia" w:ascii="仿宋" w:hAnsi="仿宋" w:eastAsia="仿宋" w:cs="仿宋"/>
          <w:b/>
          <w:sz w:val="24"/>
        </w:rPr>
      </w:pPr>
      <w:r>
        <w:rPr>
          <w:rFonts w:hint="eastAsia" w:ascii="仿宋" w:hAnsi="仿宋" w:eastAsia="仿宋" w:cs="仿宋"/>
          <w:b/>
          <w:sz w:val="24"/>
        </w:rPr>
        <w:t>二、花木布置及养护的地址、范围</w:t>
      </w:r>
    </w:p>
    <w:p w14:paraId="2C87073F">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1、花木布置及绿化养护的地址、场地及范围：</w:t>
      </w:r>
      <w:r>
        <w:rPr>
          <w:rFonts w:hint="eastAsia" w:ascii="仿宋" w:hAnsi="仿宋" w:eastAsia="仿宋" w:cs="仿宋"/>
          <w:sz w:val="24"/>
          <w:u w:val="single"/>
          <w:lang w:val="en-US" w:eastAsia="zh-CN"/>
        </w:rPr>
        <w:t xml:space="preserve">                    </w:t>
      </w:r>
    </w:p>
    <w:p w14:paraId="62ACA7D4">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2、乙方按甲方提供的地址提供全程式绿化租赁布置和养护管理服务，包括：设计、运输、搬运、摆放、更换、日常养护</w:t>
      </w:r>
      <w:r>
        <w:rPr>
          <w:rFonts w:hint="eastAsia" w:ascii="仿宋" w:hAnsi="仿宋" w:eastAsia="仿宋" w:cs="仿宋"/>
          <w:sz w:val="24"/>
          <w:lang w:eastAsia="zh-CN"/>
        </w:rPr>
        <w:t>、</w:t>
      </w:r>
      <w:r>
        <w:rPr>
          <w:rFonts w:hint="eastAsia" w:ascii="仿宋" w:hAnsi="仿宋" w:eastAsia="仿宋" w:cs="仿宋"/>
          <w:sz w:val="24"/>
          <w:lang w:val="en-US" w:eastAsia="zh-CN"/>
        </w:rPr>
        <w:t>人工、利润、税金</w:t>
      </w:r>
      <w:r>
        <w:rPr>
          <w:rFonts w:hint="eastAsia" w:ascii="仿宋" w:hAnsi="仿宋" w:eastAsia="仿宋" w:cs="仿宋"/>
          <w:sz w:val="24"/>
        </w:rPr>
        <w:t>等（服务内容价格包含在租赁价格中，乙方不再另行收取费用）。</w:t>
      </w:r>
    </w:p>
    <w:p w14:paraId="10D28D3A">
      <w:pPr>
        <w:spacing w:line="360" w:lineRule="auto"/>
        <w:rPr>
          <w:rFonts w:hint="eastAsia" w:ascii="仿宋" w:hAnsi="仿宋" w:eastAsia="仿宋" w:cs="仿宋"/>
          <w:b/>
          <w:sz w:val="24"/>
        </w:rPr>
      </w:pPr>
      <w:r>
        <w:rPr>
          <w:rFonts w:hint="eastAsia" w:ascii="仿宋" w:hAnsi="仿宋" w:eastAsia="仿宋" w:cs="仿宋"/>
          <w:b/>
          <w:sz w:val="24"/>
        </w:rPr>
        <w:t>三、合同期限、费用及付款方式</w:t>
      </w:r>
    </w:p>
    <w:p w14:paraId="6788F19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1、合同期限：自202</w:t>
      </w:r>
      <w:r>
        <w:rPr>
          <w:rFonts w:hint="eastAsia" w:ascii="仿宋" w:hAnsi="仿宋" w:eastAsia="仿宋" w:cs="仿宋"/>
          <w:sz w:val="24"/>
          <w:lang w:val="en-US" w:eastAsia="zh-CN"/>
        </w:rPr>
        <w:t>5</w:t>
      </w:r>
      <w:r>
        <w:rPr>
          <w:rFonts w:hint="eastAsia" w:ascii="仿宋" w:hAnsi="仿宋" w:eastAsia="仿宋" w:cs="仿宋"/>
          <w:sz w:val="24"/>
        </w:rPr>
        <w:t>年1月1日起至202</w:t>
      </w:r>
      <w:r>
        <w:rPr>
          <w:rFonts w:hint="eastAsia" w:ascii="仿宋" w:hAnsi="仿宋" w:eastAsia="仿宋" w:cs="仿宋"/>
          <w:sz w:val="24"/>
          <w:lang w:val="en-US" w:eastAsia="zh-CN"/>
        </w:rPr>
        <w:t>5</w:t>
      </w:r>
      <w:r>
        <w:rPr>
          <w:rFonts w:hint="eastAsia" w:ascii="仿宋" w:hAnsi="仿宋" w:eastAsia="仿宋" w:cs="仿宋"/>
          <w:sz w:val="24"/>
        </w:rPr>
        <w:t>年12月31日（36</w:t>
      </w:r>
      <w:r>
        <w:rPr>
          <w:rFonts w:hint="eastAsia" w:ascii="仿宋" w:hAnsi="仿宋" w:eastAsia="仿宋" w:cs="仿宋"/>
          <w:sz w:val="24"/>
          <w:lang w:val="en-US" w:eastAsia="zh-CN"/>
        </w:rPr>
        <w:t>5</w:t>
      </w:r>
      <w:r>
        <w:rPr>
          <w:rFonts w:hint="eastAsia" w:ascii="仿宋" w:hAnsi="仿宋" w:eastAsia="仿宋" w:cs="仿宋"/>
          <w:sz w:val="24"/>
        </w:rPr>
        <w:t>天）止；</w:t>
      </w:r>
    </w:p>
    <w:p w14:paraId="3981654E">
      <w:pPr>
        <w:spacing w:line="360" w:lineRule="auto"/>
        <w:ind w:left="0" w:leftChars="0"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合同总价为</w:t>
      </w:r>
      <w:r>
        <w:rPr>
          <w:rFonts w:hint="eastAsia" w:ascii="仿宋" w:hAnsi="仿宋" w:eastAsia="仿宋" w:cs="仿宋"/>
          <w:sz w:val="24"/>
          <w:u w:val="single"/>
          <w:lang w:val="en-US" w:eastAsia="zh-CN"/>
        </w:rPr>
        <w:t xml:space="preserve">                     元（大写：           ）</w:t>
      </w:r>
      <w:r>
        <w:rPr>
          <w:rFonts w:hint="eastAsia" w:ascii="仿宋" w:hAnsi="仿宋" w:eastAsia="仿宋" w:cs="仿宋"/>
          <w:sz w:val="24"/>
        </w:rPr>
        <w:t>，如甲方租赁期间对花进行调整，按实际调整的清单计取租赁费用，价格另外协商，不得高于市场价。</w:t>
      </w:r>
    </w:p>
    <w:p w14:paraId="5E41E845">
      <w:pPr>
        <w:spacing w:line="360" w:lineRule="auto"/>
        <w:ind w:left="0" w:leftChars="0" w:firstLine="480" w:firstLineChars="200"/>
        <w:jc w:val="left"/>
        <w:rPr>
          <w:rFonts w:hint="eastAsia" w:ascii="仿宋" w:hAnsi="仿宋" w:eastAsia="仿宋" w:cs="仿宋"/>
          <w:sz w:val="24"/>
        </w:rPr>
      </w:pPr>
      <w:r>
        <w:rPr>
          <w:rFonts w:hint="eastAsia" w:ascii="仿宋" w:hAnsi="仿宋" w:eastAsia="仿宋" w:cs="仿宋"/>
          <w:sz w:val="24"/>
        </w:rPr>
        <w:t>3、付款方式：合同签订后，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日之前支付总租赁费用的50%，剩余款项按履约情况</w:t>
      </w:r>
      <w:r>
        <w:rPr>
          <w:rFonts w:hint="eastAsia" w:ascii="仿宋" w:hAnsi="仿宋" w:eastAsia="仿宋" w:cs="仿宋"/>
          <w:sz w:val="24"/>
          <w:lang w:val="en-US" w:eastAsia="zh-CN"/>
        </w:rPr>
        <w:t>农历</w:t>
      </w:r>
      <w:r>
        <w:rPr>
          <w:rFonts w:hint="eastAsia" w:ascii="仿宋" w:hAnsi="仿宋" w:eastAsia="仿宋" w:cs="仿宋"/>
          <w:sz w:val="24"/>
        </w:rPr>
        <w:t>年底支付。</w:t>
      </w:r>
    </w:p>
    <w:p w14:paraId="255155CA">
      <w:pPr>
        <w:spacing w:line="360" w:lineRule="auto"/>
        <w:rPr>
          <w:rFonts w:hint="eastAsia" w:ascii="仿宋" w:hAnsi="仿宋" w:eastAsia="仿宋" w:cs="仿宋"/>
          <w:sz w:val="24"/>
        </w:rPr>
      </w:pPr>
      <w:r>
        <w:rPr>
          <w:rFonts w:hint="eastAsia" w:ascii="仿宋" w:hAnsi="仿宋" w:eastAsia="仿宋" w:cs="仿宋"/>
          <w:b/>
          <w:sz w:val="24"/>
        </w:rPr>
        <w:t>四、双方责任</w:t>
      </w:r>
    </w:p>
    <w:p w14:paraId="35D82190">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1、乙方所提供的各类绿植均应保质保量，乙方确认乙方提供的各类绿植均适宜在甲方花木布置及绿化养护的场地摆放。如质量不符合规范甲方有权要求乙方应予以更换符合质量要求的花木；</w:t>
      </w:r>
    </w:p>
    <w:p w14:paraId="4BD73D44">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2、乙方绿化摆定</w:t>
      </w:r>
      <w:r>
        <w:rPr>
          <w:rFonts w:hint="eastAsia" w:ascii="仿宋" w:hAnsi="仿宋" w:eastAsia="仿宋" w:cs="仿宋"/>
          <w:color w:val="000000"/>
          <w:sz w:val="24"/>
        </w:rPr>
        <w:t>布置完毕时甲</w:t>
      </w:r>
      <w:r>
        <w:rPr>
          <w:rFonts w:hint="eastAsia" w:ascii="仿宋" w:hAnsi="仿宋" w:eastAsia="仿宋" w:cs="仿宋"/>
          <w:sz w:val="24"/>
        </w:rPr>
        <w:t>方派人负责协调并验收，租赁期自甲方验收完毕后开始计算；</w:t>
      </w:r>
    </w:p>
    <w:p w14:paraId="55AE3943">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3、乙方必须委派专职人员定期负责植物养护，包括浇水，修剪，清洁，更换等工作；</w:t>
      </w:r>
    </w:p>
    <w:p w14:paraId="2F682EF6">
      <w:pPr>
        <w:spacing w:line="360" w:lineRule="auto"/>
        <w:ind w:firstLine="480" w:firstLineChars="200"/>
        <w:rPr>
          <w:rFonts w:hint="default" w:ascii="仿宋" w:hAnsi="仿宋" w:eastAsia="仿宋" w:cs="仿宋"/>
          <w:color w:val="FF0000"/>
          <w:sz w:val="24"/>
          <w:lang w:val="en-US" w:eastAsia="zh-CN"/>
        </w:rPr>
      </w:pPr>
      <w:r>
        <w:rPr>
          <w:rFonts w:hint="eastAsia" w:ascii="仿宋" w:hAnsi="仿宋" w:eastAsia="仿宋" w:cs="仿宋"/>
          <w:sz w:val="24"/>
        </w:rPr>
        <w:t>4、乙方摆定花木后，在花木适应期内原则上不予更换，甲方要求除外，乙方应根据不同季节及植物生长情况及时进行更换。（更换工作在3个工作日内完成）；</w:t>
      </w:r>
      <w:r>
        <w:rPr>
          <w:rFonts w:hint="eastAsia" w:ascii="仿宋" w:hAnsi="仿宋" w:eastAsia="仿宋" w:cs="仿宋"/>
          <w:sz w:val="24"/>
          <w:lang w:val="en-US" w:eastAsia="zh-CN"/>
        </w:rPr>
        <w:t>若因苗木生长不良等原因乙方未及时更换的，</w:t>
      </w:r>
      <w:r>
        <w:rPr>
          <w:rFonts w:hint="eastAsia" w:ascii="仿宋" w:hAnsi="仿宋" w:eastAsia="仿宋" w:cs="仿宋"/>
          <w:sz w:val="24"/>
        </w:rPr>
        <w:t>甲方有权扣减</w:t>
      </w:r>
      <w:r>
        <w:rPr>
          <w:rFonts w:hint="eastAsia" w:ascii="仿宋" w:hAnsi="仿宋" w:eastAsia="仿宋" w:cs="仿宋"/>
          <w:sz w:val="24"/>
          <w:lang w:val="en-US" w:eastAsia="zh-CN"/>
        </w:rPr>
        <w:t>该品种的</w:t>
      </w:r>
      <w:r>
        <w:rPr>
          <w:rFonts w:hint="eastAsia" w:ascii="仿宋" w:hAnsi="仿宋" w:eastAsia="仿宋" w:cs="仿宋"/>
          <w:sz w:val="24"/>
        </w:rPr>
        <w:t>租赁费用</w:t>
      </w:r>
      <w:r>
        <w:rPr>
          <w:rFonts w:hint="eastAsia" w:ascii="仿宋" w:hAnsi="仿宋" w:eastAsia="仿宋" w:cs="仿宋"/>
          <w:sz w:val="24"/>
          <w:lang w:val="en-US" w:eastAsia="zh-CN"/>
        </w:rPr>
        <w:t>。</w:t>
      </w:r>
    </w:p>
    <w:p w14:paraId="7CE562CF">
      <w:pPr>
        <w:spacing w:line="360" w:lineRule="auto"/>
        <w:ind w:firstLine="480" w:firstLineChars="200"/>
        <w:rPr>
          <w:rFonts w:hint="eastAsia" w:ascii="仿宋" w:hAnsi="仿宋" w:eastAsia="仿宋" w:cs="仿宋"/>
          <w:sz w:val="24"/>
        </w:rPr>
      </w:pPr>
      <w:r>
        <w:rPr>
          <w:rFonts w:hint="eastAsia" w:ascii="仿宋" w:hAnsi="仿宋" w:eastAsia="仿宋" w:cs="仿宋"/>
          <w:sz w:val="24"/>
        </w:rPr>
        <w:t>5、乙方工作人员遵守甲方的一切规章制度，不得进入与合同内业务无关的区域，做无关的事。乙方工作人员在摆放植物和日常绿化维护时应注意安全，不得损坏甲方设施，保持现场清洁卫生，如乙方工作人员造成甲方设施损害的，应赔偿甲方损失；</w:t>
      </w:r>
    </w:p>
    <w:p w14:paraId="1EC762A4">
      <w:pPr>
        <w:spacing w:line="360" w:lineRule="auto"/>
        <w:ind w:firstLine="480" w:firstLineChars="200"/>
        <w:rPr>
          <w:rFonts w:hint="eastAsia" w:ascii="仿宋" w:hAnsi="仿宋" w:eastAsia="仿宋" w:cs="仿宋"/>
          <w:sz w:val="24"/>
        </w:rPr>
      </w:pPr>
      <w:r>
        <w:rPr>
          <w:rFonts w:hint="eastAsia" w:ascii="仿宋" w:hAnsi="仿宋" w:eastAsia="仿宋" w:cs="仿宋"/>
          <w:sz w:val="24"/>
        </w:rPr>
        <w:t>6、甲方应为乙方无偿提供乙方人员进出，车辆停放，用水电，电梯等管理上的方便条件；</w:t>
      </w:r>
    </w:p>
    <w:p w14:paraId="34476542">
      <w:pPr>
        <w:spacing w:line="360" w:lineRule="auto"/>
        <w:ind w:firstLine="480" w:firstLineChars="200"/>
        <w:rPr>
          <w:rFonts w:hint="eastAsia" w:ascii="仿宋" w:hAnsi="仿宋" w:eastAsia="仿宋" w:cs="仿宋"/>
          <w:sz w:val="24"/>
        </w:rPr>
      </w:pPr>
      <w:r>
        <w:rPr>
          <w:rFonts w:hint="eastAsia" w:ascii="仿宋" w:hAnsi="仿宋" w:eastAsia="仿宋" w:cs="仿宋"/>
          <w:sz w:val="24"/>
        </w:rPr>
        <w:t>7、甲方对乙方所有花木应珍惜爱护，并保证植物及套盆的不丢失，否则应赔偿乙方（赔偿金额为该株绿植当月市价），但花卉的自然死亡由乙方承担，甲方不负责任；</w:t>
      </w:r>
    </w:p>
    <w:p w14:paraId="74BED7BD">
      <w:pPr>
        <w:spacing w:line="360" w:lineRule="auto"/>
        <w:ind w:firstLine="480" w:firstLineChars="200"/>
        <w:rPr>
          <w:rFonts w:hint="eastAsia" w:ascii="仿宋" w:hAnsi="仿宋" w:eastAsia="仿宋" w:cs="仿宋"/>
          <w:sz w:val="24"/>
        </w:rPr>
      </w:pPr>
      <w:r>
        <w:rPr>
          <w:rFonts w:hint="eastAsia" w:ascii="仿宋" w:hAnsi="仿宋" w:eastAsia="仿宋" w:cs="仿宋"/>
          <w:sz w:val="24"/>
        </w:rPr>
        <w:t>8、甲方需增加花木，请提前三天通知乙方，价格另再协商，不得高于市场租赁价格；</w:t>
      </w:r>
    </w:p>
    <w:p w14:paraId="7646C720">
      <w:pPr>
        <w:spacing w:line="360" w:lineRule="auto"/>
        <w:ind w:firstLine="480" w:firstLineChars="200"/>
        <w:rPr>
          <w:rFonts w:hint="eastAsia" w:ascii="仿宋" w:hAnsi="仿宋" w:eastAsia="仿宋" w:cs="仿宋"/>
          <w:sz w:val="24"/>
        </w:rPr>
      </w:pPr>
      <w:r>
        <w:rPr>
          <w:rFonts w:hint="eastAsia" w:ascii="仿宋" w:hAnsi="仿宋" w:eastAsia="仿宋" w:cs="仿宋"/>
          <w:sz w:val="24"/>
        </w:rPr>
        <w:t>9、租赁期间内花木死亡或影响美观的，乙方需及时更换新的花木。</w:t>
      </w:r>
    </w:p>
    <w:p w14:paraId="1EC3CF3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rPr>
        <w:t>10</w:t>
      </w:r>
      <w:r>
        <w:rPr>
          <w:rFonts w:hint="eastAsia" w:ascii="仿宋" w:hAnsi="仿宋" w:eastAsia="仿宋" w:cs="仿宋"/>
          <w:sz w:val="24"/>
          <w:lang w:val="en-US" w:eastAsia="zh-CN"/>
        </w:rPr>
        <w:t>、租赁期结束后，乙方应于【15】日内将合同所涉花木全部搬离甲方场地，未按时搬离的，花木所有权归甲方所有，由此造成的损失由乙方自行承担。</w:t>
      </w:r>
    </w:p>
    <w:p w14:paraId="3FEBF12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11、乙方人员在提供服务期间应承担安全保障责任，因其原因导致服务过程中发生安全事故的，由乙方承担责任。</w:t>
      </w:r>
    </w:p>
    <w:p w14:paraId="76217F47">
      <w:pPr>
        <w:spacing w:line="360" w:lineRule="auto"/>
        <w:rPr>
          <w:rFonts w:hint="eastAsia" w:ascii="仿宋" w:hAnsi="仿宋" w:eastAsia="仿宋" w:cs="仿宋"/>
          <w:b/>
          <w:sz w:val="24"/>
        </w:rPr>
      </w:pPr>
      <w:r>
        <w:rPr>
          <w:rFonts w:hint="eastAsia" w:ascii="仿宋" w:hAnsi="仿宋" w:eastAsia="仿宋" w:cs="仿宋"/>
          <w:b/>
          <w:sz w:val="24"/>
        </w:rPr>
        <w:t>五、违约责任</w:t>
      </w:r>
    </w:p>
    <w:p w14:paraId="5B7DC2FB">
      <w:p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租赁期间办公室派人对租赁花木数量与质量进行不定时抽查，如发现有下列违约情况，将追究乙方责任：</w:t>
      </w:r>
    </w:p>
    <w:p w14:paraId="5ABD1FFA">
      <w:pPr>
        <w:spacing w:line="360" w:lineRule="auto"/>
        <w:ind w:left="480"/>
        <w:rPr>
          <w:rFonts w:hint="eastAsia" w:ascii="仿宋" w:hAnsi="仿宋" w:eastAsia="仿宋" w:cs="仿宋"/>
          <w:sz w:val="24"/>
        </w:rPr>
      </w:pPr>
      <w:r>
        <w:rPr>
          <w:rFonts w:hint="eastAsia" w:ascii="仿宋" w:hAnsi="仿宋" w:eastAsia="仿宋" w:cs="仿宋"/>
          <w:sz w:val="24"/>
        </w:rPr>
        <w:t>1、乙方未按时提供租赁花木，甲方有权扣减租赁费用；</w:t>
      </w:r>
    </w:p>
    <w:p w14:paraId="215BD501">
      <w:p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2、乙方提供租赁花木不符合甲方要求，甲方有权要求更换，乙方拒绝更换的，甲方有权扣减租赁费用；</w:t>
      </w:r>
    </w:p>
    <w:p w14:paraId="6274D938">
      <w:pPr>
        <w:spacing w:line="360" w:lineRule="auto"/>
        <w:ind w:firstLine="480" w:firstLineChars="200"/>
        <w:rPr>
          <w:rFonts w:hint="eastAsia" w:ascii="仿宋" w:hAnsi="仿宋" w:eastAsia="仿宋" w:cs="仿宋"/>
          <w:sz w:val="24"/>
        </w:rPr>
      </w:pPr>
      <w:r>
        <w:rPr>
          <w:rFonts w:hint="eastAsia" w:ascii="仿宋" w:hAnsi="仿宋" w:eastAsia="仿宋" w:cs="仿宋"/>
          <w:sz w:val="24"/>
        </w:rPr>
        <w:t>3、如乙方未能按照甲方要求提供花木、更换花木，甲方有权解除合同；</w:t>
      </w:r>
    </w:p>
    <w:p w14:paraId="7A86630D">
      <w:pPr>
        <w:spacing w:line="360" w:lineRule="auto"/>
        <w:ind w:left="480"/>
        <w:rPr>
          <w:rFonts w:hint="eastAsia" w:ascii="仿宋" w:hAnsi="仿宋" w:eastAsia="仿宋" w:cs="仿宋"/>
          <w:sz w:val="24"/>
        </w:rPr>
      </w:pPr>
      <w:r>
        <w:rPr>
          <w:rFonts w:hint="eastAsia" w:ascii="仿宋" w:hAnsi="仿宋" w:eastAsia="仿宋" w:cs="仿宋"/>
          <w:sz w:val="24"/>
        </w:rPr>
        <w:t>4、在租赁期间，乙方不得将租赁花木所有权转让给第三方。</w:t>
      </w:r>
    </w:p>
    <w:p w14:paraId="361CBD22">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六、争议解决</w:t>
      </w:r>
    </w:p>
    <w:p w14:paraId="26EE7591">
      <w:pPr>
        <w:spacing w:line="360" w:lineRule="auto"/>
        <w:ind w:firstLine="480" w:firstLineChars="200"/>
        <w:rPr>
          <w:rFonts w:hint="eastAsia" w:ascii="仿宋" w:hAnsi="仿宋" w:eastAsia="仿宋" w:cs="仿宋"/>
          <w:bCs/>
          <w:sz w:val="24"/>
        </w:rPr>
      </w:pPr>
      <w:r>
        <w:rPr>
          <w:rFonts w:hint="eastAsia" w:ascii="仿宋" w:hAnsi="仿宋" w:eastAsia="仿宋" w:cs="仿宋"/>
          <w:bCs/>
          <w:color w:val="000000"/>
          <w:sz w:val="24"/>
        </w:rPr>
        <w:t>双方在履行本合同中发生争议的，应通过协商解决。如协商不成</w:t>
      </w:r>
      <w:r>
        <w:rPr>
          <w:rFonts w:hint="eastAsia" w:ascii="仿宋" w:hAnsi="仿宋" w:eastAsia="仿宋" w:cs="仿宋"/>
          <w:bCs/>
          <w:sz w:val="24"/>
        </w:rPr>
        <w:t>，依法向南浔区人民法院起诉。</w:t>
      </w:r>
    </w:p>
    <w:p w14:paraId="6C8A4EDD">
      <w:pPr>
        <w:spacing w:line="360" w:lineRule="auto"/>
        <w:rPr>
          <w:rFonts w:hint="eastAsia" w:ascii="仿宋" w:hAnsi="仿宋" w:eastAsia="仿宋" w:cs="仿宋"/>
          <w:b/>
          <w:sz w:val="24"/>
        </w:rPr>
      </w:pPr>
      <w:r>
        <w:rPr>
          <w:rFonts w:hint="eastAsia" w:ascii="仿宋" w:hAnsi="仿宋" w:eastAsia="仿宋" w:cs="仿宋"/>
          <w:b/>
          <w:sz w:val="24"/>
        </w:rPr>
        <w:t>七、其他约定事项</w:t>
      </w:r>
    </w:p>
    <w:p w14:paraId="6B6DF0C7">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1、合同经双方法定代表人或授权代表签字并加盖单位公章后生效，合同附页具有与合同同等的法律效力。</w:t>
      </w:r>
    </w:p>
    <w:p w14:paraId="4A67B936">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2、合同的修改应以书面形式进行确认，并经双方授权代表签字盖章后生效。</w:t>
      </w:r>
    </w:p>
    <w:p w14:paraId="4EC35059">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3、本合同一式</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贰</w:t>
      </w:r>
      <w:r>
        <w:rPr>
          <w:rFonts w:hint="eastAsia" w:ascii="仿宋" w:hAnsi="仿宋" w:eastAsia="仿宋" w:cs="仿宋"/>
          <w:bCs/>
          <w:sz w:val="24"/>
          <w:u w:val="single"/>
        </w:rPr>
        <w:t xml:space="preserve"> </w:t>
      </w:r>
      <w:r>
        <w:rPr>
          <w:rFonts w:hint="eastAsia" w:ascii="仿宋" w:hAnsi="仿宋" w:eastAsia="仿宋" w:cs="仿宋"/>
          <w:bCs/>
          <w:sz w:val="24"/>
        </w:rPr>
        <w:t>份，，甲乙双方各执</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壹</w:t>
      </w:r>
      <w:r>
        <w:rPr>
          <w:rFonts w:hint="eastAsia" w:ascii="仿宋" w:hAnsi="仿宋" w:eastAsia="仿宋" w:cs="仿宋"/>
          <w:bCs/>
          <w:sz w:val="24"/>
          <w:u w:val="single"/>
        </w:rPr>
        <w:t xml:space="preserve"> </w:t>
      </w:r>
      <w:r>
        <w:rPr>
          <w:rFonts w:hint="eastAsia" w:ascii="仿宋" w:hAnsi="仿宋" w:eastAsia="仿宋" w:cs="仿宋"/>
          <w:bCs/>
          <w:sz w:val="24"/>
        </w:rPr>
        <w:t>份，具有同等法律效力。</w:t>
      </w:r>
    </w:p>
    <w:p w14:paraId="15C0E1E4">
      <w:pPr>
        <w:adjustRightInd w:val="0"/>
        <w:spacing w:line="360" w:lineRule="auto"/>
        <w:ind w:firstLine="480" w:firstLineChars="200"/>
        <w:jc w:val="left"/>
        <w:textAlignment w:val="baseline"/>
        <w:rPr>
          <w:rFonts w:hint="eastAsia" w:ascii="仿宋" w:hAnsi="仿宋" w:eastAsia="仿宋" w:cs="仿宋"/>
          <w:b/>
          <w:sz w:val="24"/>
        </w:rPr>
      </w:pPr>
      <w:r>
        <w:rPr>
          <w:rFonts w:hint="eastAsia" w:ascii="仿宋" w:hAnsi="仿宋" w:eastAsia="仿宋" w:cs="仿宋"/>
          <w:bCs/>
          <w:sz w:val="24"/>
        </w:rPr>
        <w:t>4、本合同签订地为：湖州市南浔区。</w:t>
      </w:r>
    </w:p>
    <w:p w14:paraId="6DD83DCF">
      <w:pPr>
        <w:widowControl/>
        <w:spacing w:line="360" w:lineRule="auto"/>
        <w:jc w:val="left"/>
        <w:rPr>
          <w:rFonts w:hint="eastAsia" w:ascii="仿宋" w:hAnsi="仿宋" w:eastAsia="仿宋" w:cs="仿宋"/>
          <w:b/>
          <w:kern w:val="0"/>
          <w:sz w:val="24"/>
        </w:rPr>
      </w:pPr>
      <w:r>
        <w:rPr>
          <w:rFonts w:hint="eastAsia" w:ascii="仿宋" w:hAnsi="仿宋" w:eastAsia="仿宋" w:cs="仿宋"/>
          <w:b/>
          <w:kern w:val="0"/>
          <w:sz w:val="24"/>
        </w:rPr>
        <w:t xml:space="preserve">甲方：    </w:t>
      </w:r>
      <w:r>
        <w:rPr>
          <w:rFonts w:hint="eastAsia" w:ascii="仿宋" w:hAnsi="仿宋" w:eastAsia="仿宋" w:cs="仿宋"/>
          <w:kern w:val="0"/>
          <w:sz w:val="24"/>
        </w:rPr>
        <w:t xml:space="preserve">                                 </w:t>
      </w:r>
      <w:r>
        <w:rPr>
          <w:rFonts w:hint="eastAsia" w:ascii="仿宋" w:hAnsi="仿宋" w:eastAsia="仿宋" w:cs="仿宋"/>
          <w:b/>
          <w:kern w:val="0"/>
          <w:sz w:val="24"/>
        </w:rPr>
        <w:t xml:space="preserve">乙方： </w:t>
      </w:r>
    </w:p>
    <w:p w14:paraId="5CB96A5A">
      <w:pPr>
        <w:widowControl/>
        <w:spacing w:line="360" w:lineRule="auto"/>
        <w:ind w:firstLine="723" w:firstLineChars="300"/>
        <w:jc w:val="left"/>
        <w:rPr>
          <w:rFonts w:hint="eastAsia" w:ascii="仿宋" w:hAnsi="仿宋" w:eastAsia="仿宋" w:cs="仿宋"/>
          <w:b/>
          <w:kern w:val="0"/>
          <w:sz w:val="24"/>
        </w:rPr>
      </w:pPr>
      <w:r>
        <w:rPr>
          <w:rFonts w:hint="eastAsia" w:ascii="仿宋" w:hAnsi="仿宋" w:eastAsia="仿宋" w:cs="仿宋"/>
          <w:b/>
          <w:kern w:val="0"/>
          <w:sz w:val="24"/>
        </w:rPr>
        <w:t>单位盖章 ：                                单位盖章 ：</w:t>
      </w:r>
    </w:p>
    <w:p w14:paraId="65E41682">
      <w:pPr>
        <w:widowControl/>
        <w:spacing w:line="360" w:lineRule="auto"/>
        <w:ind w:firstLine="723" w:firstLineChars="300"/>
        <w:jc w:val="left"/>
        <w:rPr>
          <w:rFonts w:hint="eastAsia" w:ascii="仿宋" w:hAnsi="仿宋" w:eastAsia="仿宋" w:cs="仿宋"/>
          <w:b/>
          <w:kern w:val="0"/>
          <w:sz w:val="24"/>
        </w:rPr>
      </w:pPr>
      <w:r>
        <w:rPr>
          <w:rFonts w:hint="eastAsia" w:ascii="仿宋" w:hAnsi="仿宋" w:eastAsia="仿宋" w:cs="仿宋"/>
          <w:b/>
          <w:kern w:val="0"/>
          <w:sz w:val="24"/>
        </w:rPr>
        <w:t xml:space="preserve">签字：    </w:t>
      </w:r>
      <w:r>
        <w:rPr>
          <w:rFonts w:hint="eastAsia" w:ascii="仿宋" w:hAnsi="仿宋" w:eastAsia="仿宋" w:cs="仿宋"/>
          <w:kern w:val="0"/>
          <w:sz w:val="24"/>
        </w:rPr>
        <w:t xml:space="preserve">                                </w:t>
      </w:r>
      <w:r>
        <w:rPr>
          <w:rFonts w:hint="eastAsia" w:ascii="仿宋" w:hAnsi="仿宋" w:eastAsia="仿宋" w:cs="仿宋"/>
          <w:b/>
          <w:kern w:val="0"/>
          <w:sz w:val="24"/>
        </w:rPr>
        <w:t xml:space="preserve"> 签字：</w:t>
      </w:r>
    </w:p>
    <w:p w14:paraId="186517B0">
      <w:pPr>
        <w:widowControl/>
        <w:spacing w:line="360" w:lineRule="auto"/>
        <w:ind w:firstLine="1200" w:firstLineChars="500"/>
        <w:jc w:val="left"/>
        <w:rPr>
          <w:rFonts w:hint="eastAsia" w:ascii="仿宋" w:hAnsi="仿宋" w:eastAsia="仿宋" w:cs="仿宋"/>
          <w:kern w:val="0"/>
          <w:sz w:val="24"/>
        </w:rPr>
      </w:pPr>
      <w:r>
        <w:rPr>
          <w:rFonts w:hint="eastAsia" w:ascii="仿宋" w:hAnsi="仿宋" w:eastAsia="仿宋" w:cs="仿宋"/>
          <w:kern w:val="0"/>
          <w:sz w:val="24"/>
        </w:rPr>
        <w:t>年    月   日                           年    月   日</w:t>
      </w:r>
    </w:p>
    <w:p w14:paraId="2FCB1BDC">
      <w:pPr>
        <w:pStyle w:val="11"/>
        <w:ind w:firstLine="0" w:firstLineChars="0"/>
        <w:rPr>
          <w:rFonts w:cs="宋体"/>
          <w:snapToGrid/>
          <w:spacing w:val="0"/>
          <w:kern w:val="2"/>
          <w:sz w:val="24"/>
          <w:szCs w:val="24"/>
        </w:rPr>
      </w:pPr>
    </w:p>
    <w:p w14:paraId="4FD3DE69"/>
    <w:p w14:paraId="19EAAC2E">
      <w:pPr>
        <w:pStyle w:val="11"/>
        <w:ind w:firstLine="0" w:firstLineChars="0"/>
        <w:rPr>
          <w:rFonts w:hint="eastAsia" w:ascii="仿宋" w:hAnsi="仿宋" w:eastAsia="仿宋" w:cs="仿宋"/>
          <w:snapToGrid/>
          <w:spacing w:val="0"/>
          <w:kern w:val="2"/>
          <w:sz w:val="24"/>
          <w:szCs w:val="24"/>
        </w:rPr>
      </w:pPr>
    </w:p>
    <w:p w14:paraId="4FAFAA68">
      <w:pPr>
        <w:rPr>
          <w:rFonts w:hint="eastAsia" w:ascii="仿宋" w:hAnsi="仿宋" w:eastAsia="仿宋" w:cs="仿宋"/>
        </w:rPr>
      </w:pPr>
    </w:p>
    <w:p w14:paraId="7147C6C3">
      <w:pPr>
        <w:rPr>
          <w:rFonts w:hint="default" w:ascii="仿宋" w:hAnsi="仿宋" w:eastAsia="仿宋" w:cs="仿宋"/>
          <w:color w:val="auto"/>
          <w:sz w:val="28"/>
          <w:szCs w:val="28"/>
          <w:lang w:val="en-US" w:eastAsia="zh-CN"/>
        </w:rPr>
      </w:pP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30BCD1EE"/>
    <w:multiLevelType w:val="singleLevel"/>
    <w:tmpl w:val="30BCD1EE"/>
    <w:lvl w:ilvl="0" w:tentative="0">
      <w:start w:val="2"/>
      <w:numFmt w:val="decimal"/>
      <w:suff w:val="nothing"/>
      <w:lvlText w:val="（%1）"/>
      <w:lvlJc w:val="left"/>
    </w:lvl>
  </w:abstractNum>
  <w:abstractNum w:abstractNumId="4">
    <w:nsid w:val="7C8A8F1E"/>
    <w:multiLevelType w:val="singleLevel"/>
    <w:tmpl w:val="7C8A8F1E"/>
    <w:lvl w:ilvl="0" w:tentative="0">
      <w:start w:val="2"/>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2330B0"/>
    <w:rsid w:val="024D517C"/>
    <w:rsid w:val="02BC3862"/>
    <w:rsid w:val="02BC5875"/>
    <w:rsid w:val="03004097"/>
    <w:rsid w:val="036F73CD"/>
    <w:rsid w:val="05C27936"/>
    <w:rsid w:val="060D2627"/>
    <w:rsid w:val="0664493D"/>
    <w:rsid w:val="0676584E"/>
    <w:rsid w:val="06B00B0C"/>
    <w:rsid w:val="06C3104B"/>
    <w:rsid w:val="07034D03"/>
    <w:rsid w:val="07EA63A8"/>
    <w:rsid w:val="08A300C3"/>
    <w:rsid w:val="08FB4D60"/>
    <w:rsid w:val="092F7FF3"/>
    <w:rsid w:val="096176C5"/>
    <w:rsid w:val="09A57A79"/>
    <w:rsid w:val="0A2B40C2"/>
    <w:rsid w:val="0A7439FC"/>
    <w:rsid w:val="0ABC39D8"/>
    <w:rsid w:val="0BD0477F"/>
    <w:rsid w:val="0BFE5400"/>
    <w:rsid w:val="0C380864"/>
    <w:rsid w:val="0D214F69"/>
    <w:rsid w:val="0D435CF0"/>
    <w:rsid w:val="0D5B23CC"/>
    <w:rsid w:val="0D8B3083"/>
    <w:rsid w:val="0DC10698"/>
    <w:rsid w:val="0E213296"/>
    <w:rsid w:val="0E5B6625"/>
    <w:rsid w:val="0E6A1B82"/>
    <w:rsid w:val="0FFB54E4"/>
    <w:rsid w:val="109275A9"/>
    <w:rsid w:val="1147606A"/>
    <w:rsid w:val="128C4F28"/>
    <w:rsid w:val="12F0488A"/>
    <w:rsid w:val="130872F3"/>
    <w:rsid w:val="13F81F0F"/>
    <w:rsid w:val="140B4E5D"/>
    <w:rsid w:val="1437301A"/>
    <w:rsid w:val="145A7A85"/>
    <w:rsid w:val="150077B6"/>
    <w:rsid w:val="150838E9"/>
    <w:rsid w:val="155E5FDC"/>
    <w:rsid w:val="15FA7F52"/>
    <w:rsid w:val="160C4FAD"/>
    <w:rsid w:val="16D80B50"/>
    <w:rsid w:val="172401FC"/>
    <w:rsid w:val="175E1271"/>
    <w:rsid w:val="177B16DD"/>
    <w:rsid w:val="17F90A1F"/>
    <w:rsid w:val="18651DBE"/>
    <w:rsid w:val="188B1748"/>
    <w:rsid w:val="18FD3554"/>
    <w:rsid w:val="19FB6B29"/>
    <w:rsid w:val="1B290206"/>
    <w:rsid w:val="1BD539E3"/>
    <w:rsid w:val="1D8A0AF6"/>
    <w:rsid w:val="1EDA1C32"/>
    <w:rsid w:val="1F4F5857"/>
    <w:rsid w:val="1F980D5B"/>
    <w:rsid w:val="20966027"/>
    <w:rsid w:val="20E40EF4"/>
    <w:rsid w:val="213C72D1"/>
    <w:rsid w:val="21A9704B"/>
    <w:rsid w:val="21E5246C"/>
    <w:rsid w:val="2270793E"/>
    <w:rsid w:val="22744381"/>
    <w:rsid w:val="23963804"/>
    <w:rsid w:val="240C6FC1"/>
    <w:rsid w:val="24923529"/>
    <w:rsid w:val="24DC6BA4"/>
    <w:rsid w:val="25AC1A52"/>
    <w:rsid w:val="25AC3ECC"/>
    <w:rsid w:val="25BE2D9F"/>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943B75"/>
    <w:rsid w:val="2C962226"/>
    <w:rsid w:val="2CA46F92"/>
    <w:rsid w:val="2D2963A0"/>
    <w:rsid w:val="2D2E3708"/>
    <w:rsid w:val="2D4C1D3E"/>
    <w:rsid w:val="2D4E51DC"/>
    <w:rsid w:val="2DDD275B"/>
    <w:rsid w:val="2E730E6B"/>
    <w:rsid w:val="2E7B7120"/>
    <w:rsid w:val="2EA60DD6"/>
    <w:rsid w:val="2EE70255"/>
    <w:rsid w:val="2EED2E72"/>
    <w:rsid w:val="2F7B4131"/>
    <w:rsid w:val="2FD47A9D"/>
    <w:rsid w:val="2FF346DE"/>
    <w:rsid w:val="30981779"/>
    <w:rsid w:val="31E27B56"/>
    <w:rsid w:val="328416F9"/>
    <w:rsid w:val="32A90296"/>
    <w:rsid w:val="33074CF4"/>
    <w:rsid w:val="33BE1F6B"/>
    <w:rsid w:val="34390751"/>
    <w:rsid w:val="343D1E3E"/>
    <w:rsid w:val="34B25A95"/>
    <w:rsid w:val="34C66947"/>
    <w:rsid w:val="35C32B3D"/>
    <w:rsid w:val="36B349A1"/>
    <w:rsid w:val="37250DEE"/>
    <w:rsid w:val="37855A0B"/>
    <w:rsid w:val="38871C41"/>
    <w:rsid w:val="38993E43"/>
    <w:rsid w:val="38995E18"/>
    <w:rsid w:val="390051EA"/>
    <w:rsid w:val="396D25ED"/>
    <w:rsid w:val="39C872B8"/>
    <w:rsid w:val="3A0B4AF4"/>
    <w:rsid w:val="3A8373E6"/>
    <w:rsid w:val="3B346B06"/>
    <w:rsid w:val="3B790C66"/>
    <w:rsid w:val="3B9A040A"/>
    <w:rsid w:val="3BB027C8"/>
    <w:rsid w:val="3C481081"/>
    <w:rsid w:val="3CCF61D5"/>
    <w:rsid w:val="3DCE0312"/>
    <w:rsid w:val="3EE94E91"/>
    <w:rsid w:val="401933BF"/>
    <w:rsid w:val="401B49F1"/>
    <w:rsid w:val="407C2246"/>
    <w:rsid w:val="40CC5ECD"/>
    <w:rsid w:val="41A9404A"/>
    <w:rsid w:val="41B8341B"/>
    <w:rsid w:val="41CA6631"/>
    <w:rsid w:val="42913872"/>
    <w:rsid w:val="42C67AC2"/>
    <w:rsid w:val="42E64203"/>
    <w:rsid w:val="43DB70C2"/>
    <w:rsid w:val="43F13D3E"/>
    <w:rsid w:val="44743BF0"/>
    <w:rsid w:val="448A4217"/>
    <w:rsid w:val="44A3316C"/>
    <w:rsid w:val="44F12018"/>
    <w:rsid w:val="453C0B5F"/>
    <w:rsid w:val="4544519C"/>
    <w:rsid w:val="45466415"/>
    <w:rsid w:val="458C1A14"/>
    <w:rsid w:val="46606607"/>
    <w:rsid w:val="46A1659A"/>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44E6A41"/>
    <w:rsid w:val="545B3A66"/>
    <w:rsid w:val="55B87767"/>
    <w:rsid w:val="57230952"/>
    <w:rsid w:val="57352C18"/>
    <w:rsid w:val="57376AD1"/>
    <w:rsid w:val="57522A51"/>
    <w:rsid w:val="575F5238"/>
    <w:rsid w:val="580C6F3F"/>
    <w:rsid w:val="58AE643D"/>
    <w:rsid w:val="58BB7EBA"/>
    <w:rsid w:val="59875B51"/>
    <w:rsid w:val="59DF66FA"/>
    <w:rsid w:val="5A653BEA"/>
    <w:rsid w:val="5B146EB4"/>
    <w:rsid w:val="5B73507F"/>
    <w:rsid w:val="5B786E00"/>
    <w:rsid w:val="5BD4727C"/>
    <w:rsid w:val="5C1678E0"/>
    <w:rsid w:val="5CB03F66"/>
    <w:rsid w:val="5DC83524"/>
    <w:rsid w:val="5ED66666"/>
    <w:rsid w:val="5F7E0DDA"/>
    <w:rsid w:val="609360DE"/>
    <w:rsid w:val="60A87BAD"/>
    <w:rsid w:val="60C70EC5"/>
    <w:rsid w:val="61083DAF"/>
    <w:rsid w:val="617A50C8"/>
    <w:rsid w:val="61990971"/>
    <w:rsid w:val="62086F99"/>
    <w:rsid w:val="63665421"/>
    <w:rsid w:val="63E11AC6"/>
    <w:rsid w:val="650E0CA2"/>
    <w:rsid w:val="66221F5E"/>
    <w:rsid w:val="669E0497"/>
    <w:rsid w:val="66D907B5"/>
    <w:rsid w:val="67121B6C"/>
    <w:rsid w:val="67B31BB7"/>
    <w:rsid w:val="680E6F72"/>
    <w:rsid w:val="68351218"/>
    <w:rsid w:val="689950F9"/>
    <w:rsid w:val="68D91796"/>
    <w:rsid w:val="69244882"/>
    <w:rsid w:val="69DD59B8"/>
    <w:rsid w:val="6A6F45A5"/>
    <w:rsid w:val="6AB563C0"/>
    <w:rsid w:val="6ACB5B2B"/>
    <w:rsid w:val="6AD63EF6"/>
    <w:rsid w:val="6B8159D3"/>
    <w:rsid w:val="6CEA1EDF"/>
    <w:rsid w:val="6D57647C"/>
    <w:rsid w:val="6D613F3E"/>
    <w:rsid w:val="6E162B44"/>
    <w:rsid w:val="6E244BCE"/>
    <w:rsid w:val="6E6E390B"/>
    <w:rsid w:val="6F370F32"/>
    <w:rsid w:val="6FDD7C1E"/>
    <w:rsid w:val="6FED3D79"/>
    <w:rsid w:val="7133646D"/>
    <w:rsid w:val="71774396"/>
    <w:rsid w:val="71890927"/>
    <w:rsid w:val="71AC4A9F"/>
    <w:rsid w:val="72044E22"/>
    <w:rsid w:val="72207836"/>
    <w:rsid w:val="72271AD1"/>
    <w:rsid w:val="72841C5F"/>
    <w:rsid w:val="72A815A9"/>
    <w:rsid w:val="73257B3E"/>
    <w:rsid w:val="73D20082"/>
    <w:rsid w:val="74B67236"/>
    <w:rsid w:val="74D25614"/>
    <w:rsid w:val="74DE2A6C"/>
    <w:rsid w:val="750232A8"/>
    <w:rsid w:val="758414F2"/>
    <w:rsid w:val="75F16FE0"/>
    <w:rsid w:val="75F82D28"/>
    <w:rsid w:val="76B348A4"/>
    <w:rsid w:val="779F3BAA"/>
    <w:rsid w:val="77C64979"/>
    <w:rsid w:val="77CC339C"/>
    <w:rsid w:val="797634F8"/>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1075</Words>
  <Characters>1116</Characters>
  <Lines>0</Lines>
  <Paragraphs>0</Paragraphs>
  <TotalTime>28</TotalTime>
  <ScaleCrop>false</ScaleCrop>
  <LinksUpToDate>false</LinksUpToDate>
  <CharactersWithSpaces>1177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合同签订后， 2025年6月30日之前支付总租赁费用的50%，剩余款项按履约情况农历年底支付。</dc:creator>
  <dc:description>湖州市南浔区南浔镇年丰路1388号（南浔金融中心  1、2、3、20、21、22楼）</dc:description>
  <cp:keywords>湖州南浔城市投资发展集团有限公司花木租赁明细(南浔金融中心)</cp:keywords>
  <cp:lastModifiedBy>HSM</cp:lastModifiedBy>
  <cp:lastPrinted>2024-12-23T08:01:00Z</cp:lastPrinted>
  <dcterms:modified xsi:type="dcterms:W3CDTF">2024-12-26T07:03:52Z</dcterms:modified>
  <dc:subject>建设内容包括但不限于 花木租赁（品种详见附件） 等工程，最终以招标人及业主单位要求为准，直至本工程满足功能性要求及设计单位、业主单位要求并竣工验收合格为止。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4694928C8C4545DB99332A903739E6C8_11</vt:lpwstr>
  </property>
</Properties>
</file>