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144974482"/>
      <w:bookmarkStart w:id="2" w:name="_Toc152045514"/>
      <w:bookmarkStart w:id="3" w:name="_Toc152042290"/>
      <w:bookmarkStart w:id="4" w:name="_Toc449509649"/>
      <w:bookmarkStart w:id="5" w:name="_Toc246996903"/>
      <w:bookmarkStart w:id="6" w:name="_Toc246996160"/>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南浔停车场智慧电储充站项目——玖象家居专业分包工程（重新招标）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2024-N-156-下01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南浔停车场智慧电储充站项目——玖象家居专业分包工程（重新招标）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湖州浔城智慧新能源停车管理有限公司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电力设计、电力施工</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950000</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湖州市南浔玖象家居</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新增变压器、配电箱、充电桩基础，铺设电缆（线）及相应的深化设计等工作内容 等工程，具体详见工程量清单及图纸，最终以招标人及业主单位要求为准，直至本工程满足功能性要求及设计单位、业主单位要求并竣工验收合格为止。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02789D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永久用电 </w:t>
            </w:r>
            <w:r>
              <w:rPr>
                <w:rFonts w:hint="eastAsia" w:ascii="仿宋_GB2312" w:hAnsi="仿宋_GB2312" w:eastAsia="仿宋_GB2312" w:cs="仿宋_GB2312"/>
                <w:sz w:val="28"/>
                <w:szCs w:val="28"/>
                <w:highlight w:val="none"/>
                <w:vertAlign w:val="baseline"/>
                <w:lang w:val="en-US" w:eastAsia="zh-CN"/>
              </w:rPr>
              <w:t>分包库内单位。</w:t>
            </w:r>
          </w:p>
          <w:p w14:paraId="66D13E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承装（修、试）电力设施许可证 </w:t>
            </w:r>
            <w:r>
              <w:rPr>
                <w:rFonts w:hint="eastAsia" w:ascii="仿宋_GB2312" w:hAnsi="仿宋_GB2312" w:eastAsia="仿宋_GB2312" w:cs="仿宋_GB2312"/>
                <w:sz w:val="28"/>
                <w:szCs w:val="28"/>
                <w:highlight w:val="none"/>
                <w:u w:val="none"/>
                <w:vertAlign w:val="baseline"/>
                <w:lang w:val="en-US" w:eastAsia="zh-CN"/>
              </w:rPr>
              <w:t>。</w:t>
            </w:r>
          </w:p>
          <w:p w14:paraId="0241B9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备注：二者满足其一即可。</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11</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6%</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14</w:t>
            </w:r>
            <w:bookmarkStart w:id="12" w:name="_GoBack"/>
            <w:bookmarkEnd w:id="12"/>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附件1：《工程专业承包施工合同》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0CDAA210">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332D83B">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5111BE5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南浔停车场智慧电储充站项目——玖象家居专业分包工程（重新招标）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湖州市南浔玖象家居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新增变压器、配电箱、充电桩基础，铺设电缆（线）及相应的深化设计等工作内容 等工程，具体详见工程量清单及图纸，最终以招标人及业主单位要求为准，直至本工程满足功能性要求及设计单位、业主单位要求并竣工验收合格为止。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9F7AF1"/>
    <w:rsid w:val="05C27936"/>
    <w:rsid w:val="060D2627"/>
    <w:rsid w:val="0664493D"/>
    <w:rsid w:val="067B4456"/>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3BB6D96"/>
    <w:rsid w:val="140B4E5D"/>
    <w:rsid w:val="1437301A"/>
    <w:rsid w:val="150838E9"/>
    <w:rsid w:val="15FA7F52"/>
    <w:rsid w:val="160C4FAD"/>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963804"/>
    <w:rsid w:val="240C6FC1"/>
    <w:rsid w:val="24923529"/>
    <w:rsid w:val="24DC6BA4"/>
    <w:rsid w:val="25AC1A52"/>
    <w:rsid w:val="25AC3ECC"/>
    <w:rsid w:val="25CC4F38"/>
    <w:rsid w:val="25D2075A"/>
    <w:rsid w:val="268202E5"/>
    <w:rsid w:val="273F34FA"/>
    <w:rsid w:val="274B3E8E"/>
    <w:rsid w:val="27817DA6"/>
    <w:rsid w:val="28E8438B"/>
    <w:rsid w:val="29385A89"/>
    <w:rsid w:val="29931E14"/>
    <w:rsid w:val="2A1D189D"/>
    <w:rsid w:val="2A5C1303"/>
    <w:rsid w:val="2A76033E"/>
    <w:rsid w:val="2AB53FDF"/>
    <w:rsid w:val="2BF235E5"/>
    <w:rsid w:val="2BFB6029"/>
    <w:rsid w:val="2C59780C"/>
    <w:rsid w:val="2C936391"/>
    <w:rsid w:val="2CA46F92"/>
    <w:rsid w:val="2D2E3708"/>
    <w:rsid w:val="2D4C1D3E"/>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871C41"/>
    <w:rsid w:val="38993E43"/>
    <w:rsid w:val="38995E18"/>
    <w:rsid w:val="390051EA"/>
    <w:rsid w:val="396D25ED"/>
    <w:rsid w:val="39C872B8"/>
    <w:rsid w:val="3A0B4AF4"/>
    <w:rsid w:val="3A8373E6"/>
    <w:rsid w:val="3B346B06"/>
    <w:rsid w:val="3B790C66"/>
    <w:rsid w:val="3B9A040A"/>
    <w:rsid w:val="3CCF61D5"/>
    <w:rsid w:val="3EA941E9"/>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3954C0"/>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097E06"/>
    <w:rsid w:val="4D566987"/>
    <w:rsid w:val="4D72579F"/>
    <w:rsid w:val="4E472389"/>
    <w:rsid w:val="4EC17644"/>
    <w:rsid w:val="4ED11A10"/>
    <w:rsid w:val="4F2C520F"/>
    <w:rsid w:val="4F3B50DC"/>
    <w:rsid w:val="4F672375"/>
    <w:rsid w:val="4F9801E7"/>
    <w:rsid w:val="4FA62E9D"/>
    <w:rsid w:val="501723E6"/>
    <w:rsid w:val="50812FC2"/>
    <w:rsid w:val="50DC22A0"/>
    <w:rsid w:val="50F419E6"/>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9700E1"/>
    <w:rsid w:val="59DF66FA"/>
    <w:rsid w:val="5A653BEA"/>
    <w:rsid w:val="5B73507F"/>
    <w:rsid w:val="5C1678E0"/>
    <w:rsid w:val="5CB03F66"/>
    <w:rsid w:val="5ED66666"/>
    <w:rsid w:val="5F7E0DDA"/>
    <w:rsid w:val="5FC7527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C413CF9"/>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7758BA"/>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25284</Words>
  <Characters>25671</Characters>
  <Lines>0</Lines>
  <Paragraphs>0</Paragraphs>
  <TotalTime>13</TotalTime>
  <ScaleCrop>false</ScaleCrop>
  <LinksUpToDate>false</LinksUpToDate>
  <CharactersWithSpaces>26668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湖州市南浔玖象家居</dc:description>
  <cp:keywords>南浔停车场智慧电储充站项目——玖象家居专业分包工程（重新招标）</cp:keywords>
  <cp:lastModifiedBy>HSM</cp:lastModifiedBy>
  <cp:lastPrinted>2024-12-16T01:24:00Z</cp:lastPrinted>
  <dcterms:modified xsi:type="dcterms:W3CDTF">2024-12-26T07:08:25Z</dcterms:modified>
  <dc:subject>建设内容包括但不限于  新增变压器、配电箱、充电桩基础，铺设电缆（线）及相应的深化设计等工作内容 等工程，具体详见工程量清单及图纸，最终以招标人及业主单位要求为准，直至本工程满足功能性要求及设计单位、业主单位要求并竣工验收合格为止。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