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152045514"/>
      <w:bookmarkStart w:id="2" w:name="_Toc449509649"/>
      <w:bookmarkStart w:id="3" w:name="_Toc246996160"/>
      <w:bookmarkStart w:id="4" w:name="_Toc246996903"/>
      <w:bookmarkStart w:id="5" w:name="_Toc152042290"/>
      <w:bookmarkStart w:id="6" w:name="_Toc179632530"/>
      <w:bookmarkStart w:id="7" w:name="_Toc144974482"/>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南浔生态宜居排水系统改造工程-生态酒店体育场设施提升项目--网球场地面及围网</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3"/>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2024-N-076-下03  </w:t>
      </w:r>
    </w:p>
    <w:p w14:paraId="1AC5167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b w:val="0"/>
          <w:bCs w:val="0"/>
          <w:sz w:val="32"/>
          <w:szCs w:val="32"/>
          <w:highlight w:val="none"/>
          <w:u w:val="single"/>
          <w:vertAlign w:val="baseline"/>
          <w:lang w:val="en-US" w:eastAsia="zh-CN"/>
        </w:rPr>
        <w:t>浙江金业管理咨询有限公司 （盖章）</w:t>
      </w:r>
    </w:p>
    <w:p w14:paraId="6FE4B2C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E36714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F75DD7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685BE2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A925D9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4E3A1A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58402A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BD48D7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BCE7FC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842021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FA9403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728B79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8CF7362">
      <w:pP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br w:type="page"/>
      </w:r>
    </w:p>
    <w:p w14:paraId="4A60C621">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南浔生态宜居排水系统改造工程-生态酒店体育场设施提升项目--网球场地面及围网</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yellow"/>
                <w:vertAlign w:val="baseline"/>
                <w:lang w:val="en-US" w:eastAsia="zh-CN"/>
              </w:rPr>
              <w:t>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土建</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围网部分2025年3月20日前完工，地面部分2025年4月15日前完工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9" w:name="OLE_LINK4"/>
            <w:r>
              <w:rPr>
                <w:rFonts w:hint="eastAsia" w:ascii="仿宋_GB2312" w:hAnsi="仿宋_GB2312" w:eastAsia="仿宋_GB2312" w:cs="仿宋_GB2312"/>
                <w:sz w:val="28"/>
                <w:szCs w:val="28"/>
                <w:highlight w:val="none"/>
                <w:u w:val="single"/>
                <w:vertAlign w:val="baseline"/>
                <w:lang w:val="en-US" w:eastAsia="zh-CN"/>
              </w:rPr>
              <w:t>1763015元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湖州市南浔区生态酒店旁（招标人指定地点）</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sz w:val="28"/>
              <w:szCs w:val="28"/>
              <w:highlight w:val="none"/>
              <w:vertAlign w:val="baseline"/>
              <w:lang w:val="en-US" w:eastAsia="zh-CN"/>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本工程为网球场地面及围网项目，具体施工内容参考工程量清单，最终以招标人及业主单位要求为准，直至本工程满足功能性要求及设计单位、业主单位要求并竣工验收合格为止。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4EB9840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7" w:type="dxa"/>
            <w:noWrap w:val="0"/>
            <w:vAlign w:val="center"/>
          </w:tcPr>
          <w:p w14:paraId="4416EF3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10万元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投标人实际完成合格工程量（工程实际完成合格工程量扣除甲供材料对应款项、其他应扣款项后所得金额）下浮后的20%（含对上合同下浮费率及投标人中标下浮率），支付时须提供经公司核定的投标人实际完成合格总工程量50%的进项发票，否则公司有权不予付款；工程竣工验收并移交完成、结算审计资料提交至业主单位签收完成后支付至经公司核定的投标人实际完成合格总工程量（工程实际完成合格工程量扣除甲供材料对应款项、其他应扣款项后所得金额）下浮后的50%（含对上合同下浮费率及投标人中标下浮率），支付时须提供投标人实际完成合格总工程量70-75%的进项发票，否则公司有权不予付款；工程对上审计完成、并完成公司与投标人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336649A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4BF6020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tc>
      </w:tr>
    </w:tbl>
    <w:p w14:paraId="72CE88F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80"/>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noWrap w:val="0"/>
            <w:vAlign w:val="center"/>
          </w:tcPr>
          <w:p w14:paraId="17E12EC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37E8D3A4">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营业执照内与体育、文化场地设施工程施工有关的单位或相关生产制造企业。</w:t>
            </w:r>
          </w:p>
          <w:p w14:paraId="38FABD54">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default" w:ascii="仿宋_GB2312" w:hAnsi="仿宋_GB2312" w:eastAsia="仿宋_GB2312" w:cs="仿宋_GB2312"/>
                <w:color w:val="auto"/>
                <w:sz w:val="28"/>
                <w:szCs w:val="28"/>
                <w:highlight w:val="none"/>
              </w:rPr>
              <w:t>注：本项目拒绝接受被录入检察机关行贿犯罪档案的投标人；拒绝被有关行政监管部门通报限制投标且在限制期内的投标人</w:t>
            </w:r>
            <w:r>
              <w:rPr>
                <w:rFonts w:hint="default" w:ascii="仿宋_GB2312" w:hAnsi="仿宋_GB2312" w:eastAsia="仿宋_GB2312" w:cs="仿宋_GB2312"/>
                <w:color w:val="auto"/>
                <w:sz w:val="28"/>
                <w:szCs w:val="28"/>
                <w:highlight w:val="no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lang w:val="en-US" w:eastAsia="zh-CN"/>
              </w:rPr>
              <w:t>无</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val="en-US" w:eastAsia="zh-CN"/>
              </w:rPr>
              <w:t>（即89%折扣）</w:t>
            </w:r>
            <w:r>
              <w:rPr>
                <w:rFonts w:hint="eastAsia" w:ascii="仿宋_GB2312" w:hAnsi="仿宋_GB2312" w:eastAsia="仿宋_GB2312" w:cs="仿宋_GB2312"/>
                <w:color w:val="000000"/>
                <w:sz w:val="28"/>
                <w:szCs w:val="28"/>
                <w:highlight w:val="yellow"/>
                <w:lang w:val="en-US" w:eastAsia="zh-CN"/>
              </w:rPr>
              <w:t>（不含招标人与业主单位的合同下浮费率 6%）</w:t>
            </w:r>
            <w:r>
              <w:rPr>
                <w:rFonts w:hint="eastAsia" w:ascii="仿宋_GB2312" w:hAnsi="仿宋_GB2312" w:eastAsia="仿宋_GB2312" w:cs="仿宋_GB2312"/>
                <w:color w:val="000000"/>
                <w:sz w:val="28"/>
                <w:szCs w:val="28"/>
                <w:highlight w:val="none"/>
                <w:lang w:val="en-US" w:eastAsia="zh-CN"/>
              </w:rPr>
              <w:t>，投标报价不得小于招标控制价基础下浮率，否则作为废标处理。</w:t>
            </w:r>
          </w:p>
          <w:p w14:paraId="134A3CD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p w14:paraId="58C0CE6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yellow"/>
                <w:lang w:val="en-US" w:eastAsia="zh-CN"/>
              </w:rPr>
              <w:t>注：该项目的围挡建设费用由中标单位支付，费用按本项目最终成交价占生态酒店土建劳务、地面及围网、膜结构项目这三个项目的总费用的比例来计算。</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6136</w:t>
            </w:r>
            <w:r>
              <w:rPr>
                <w:rFonts w:hint="eastAsia" w:ascii="仿宋_GB2312" w:hAnsi="仿宋_GB2312" w:eastAsia="仿宋_GB2312" w:cs="仿宋_GB2312"/>
                <w:b/>
                <w:bCs/>
                <w:color w:val="auto"/>
                <w:sz w:val="28"/>
                <w:szCs w:val="28"/>
                <w:highlight w:val="none"/>
                <w:lang w:val="en-US" w:eastAsia="zh-CN"/>
              </w:rPr>
              <w:t>元，由中标单位承担。</w:t>
            </w:r>
          </w:p>
        </w:tc>
      </w:tr>
    </w:tbl>
    <w:p w14:paraId="7DB1605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742"/>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top"/>
          </w:tcPr>
          <w:p w14:paraId="745C671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14:paraId="287BB62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2C29D84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14:paraId="484E9FF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请投标人认真、完整填写招标文件要求的各项文件后，于</w:t>
            </w:r>
            <w:bookmarkStart w:id="11" w:name="OLE_LINK5"/>
            <w:r>
              <w:rPr>
                <w:rFonts w:hint="eastAsia" w:ascii="仿宋_GB2312" w:hAnsi="仿宋_GB2312" w:eastAsia="仿宋_GB2312" w:cs="仿宋_GB2312"/>
                <w:sz w:val="28"/>
                <w:szCs w:val="28"/>
                <w:highlight w:val="yellow"/>
                <w:u w:val="single"/>
                <w:lang w:val="en-US" w:eastAsia="zh-CN"/>
              </w:rPr>
              <w:t>2025</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2706B1A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14:paraId="6621AB7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p w14:paraId="650328D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浙江金业管理咨询有限公司：徐而凯 0572-2558688</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575DF94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14:paraId="649399A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湖州南浔城投城市建设集团有限公司一</w:t>
            </w:r>
            <w:r>
              <w:rPr>
                <w:rFonts w:hint="eastAsia" w:ascii="仿宋_GB2312" w:hAnsi="仿宋_GB2312" w:eastAsia="仿宋_GB2312" w:cs="仿宋_GB2312"/>
                <w:sz w:val="28"/>
                <w:szCs w:val="28"/>
                <w:highlight w:val="none"/>
                <w:u w:val="none"/>
                <w:lang w:eastAsia="zh-CN"/>
              </w:rPr>
              <w:t>楼开标室</w:t>
            </w:r>
            <w:r>
              <w:rPr>
                <w:rFonts w:hint="eastAsia" w:ascii="仿宋_GB2312" w:hAnsi="仿宋_GB2312" w:eastAsia="仿宋_GB2312" w:cs="仿宋_GB2312"/>
                <w:sz w:val="28"/>
                <w:szCs w:val="28"/>
                <w:highlight w:val="none"/>
                <w:u w:val="none"/>
                <w:lang w:val="en-US" w:eastAsia="zh-CN"/>
              </w:rPr>
              <w:t>(101室）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7A7CDA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14:paraId="7BAE2F8C">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14:paraId="015A079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14:paraId="098CA5A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资格部分</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6F52FD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7F1A57C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1、工商营业执照复印件</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ED72C0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9CE72C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2、资质证书复印件、安全生产许可证复印件（如有）</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73E8CA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58267AB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3、法定代表人身份证明</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5A48946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6100E52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6BBD5C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CB0067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5、《安全生产目标管理责任书》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516287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E8AF8D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6、《廉洁自律承诺书》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65FE5DF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6EBAD38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7、《不参与围标串标承诺书》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vMerge w:val="continue"/>
            <w:noWrap w:val="0"/>
            <w:vAlign w:val="top"/>
          </w:tcPr>
          <w:p w14:paraId="74305A3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B35C3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3B0A78A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4CDE648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9、项目管理机构配备情况表</w:t>
            </w:r>
          </w:p>
        </w:tc>
      </w:tr>
      <w:tr w14:paraId="55D7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14B9BF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2218D1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技术部分</w:t>
            </w:r>
          </w:p>
        </w:tc>
      </w:tr>
      <w:tr w14:paraId="7CBA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125DB2E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1EB00A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10、服务方案</w:t>
            </w:r>
          </w:p>
        </w:tc>
      </w:tr>
      <w:tr w14:paraId="2EEC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EA0152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365DF9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11、重点难点分析</w:t>
            </w:r>
          </w:p>
        </w:tc>
      </w:tr>
      <w:tr w14:paraId="420D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8FA9E7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7782C49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12、安全文明保障方案</w:t>
            </w:r>
          </w:p>
        </w:tc>
      </w:tr>
      <w:tr w14:paraId="66F5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vMerge w:val="continue"/>
            <w:noWrap w:val="0"/>
            <w:vAlign w:val="top"/>
          </w:tcPr>
          <w:p w14:paraId="446B2E6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5A00D9D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13、管理制度</w:t>
            </w:r>
          </w:p>
        </w:tc>
      </w:tr>
      <w:tr w14:paraId="7E2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A900E8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7859F3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14、编制措施</w:t>
            </w:r>
          </w:p>
        </w:tc>
      </w:tr>
      <w:tr w14:paraId="509A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46F9ED3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691EC66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15、服务保障</w:t>
            </w:r>
          </w:p>
        </w:tc>
      </w:tr>
      <w:tr w14:paraId="1E69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970FD6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2BB9B8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16、应急保障措施</w:t>
            </w:r>
          </w:p>
        </w:tc>
      </w:tr>
      <w:tr w14:paraId="1866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200084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731CDA9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17、同类项目业绩</w:t>
            </w:r>
          </w:p>
        </w:tc>
      </w:tr>
      <w:tr w14:paraId="61DB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BA43D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42B3E80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报价部分</w:t>
            </w:r>
          </w:p>
        </w:tc>
      </w:tr>
      <w:tr w14:paraId="4CF8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56D4E23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48DD813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18、投标函</w:t>
            </w:r>
          </w:p>
        </w:tc>
      </w:tr>
      <w:tr w14:paraId="678F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4A57A4F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4E49744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34D77BA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6F15AF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3680DB2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7340C8F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14:paraId="59EDBA11">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08213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投标人的最终得分=报价得分+技术标得分</w:t>
      </w:r>
    </w:p>
    <w:p w14:paraId="3B9859C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报价评定</w:t>
      </w:r>
      <w:r>
        <w:rPr>
          <w:rFonts w:hint="eastAsia" w:ascii="仿宋_GB2312" w:hAnsi="仿宋_GB2312" w:eastAsia="仿宋_GB2312" w:cs="仿宋_GB2312"/>
          <w:b/>
          <w:bCs/>
          <w:color w:val="0000FF"/>
          <w:sz w:val="28"/>
          <w:szCs w:val="28"/>
          <w:highlight w:val="none"/>
          <w:lang w:val="en-US" w:eastAsia="zh-CN"/>
        </w:rPr>
        <w:t>（按折扣计算）</w:t>
      </w:r>
    </w:p>
    <w:p w14:paraId="7F00A0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本工程报价总分70分，按以下标准评定。</w:t>
      </w:r>
    </w:p>
    <w:p w14:paraId="566C6C6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yellow"/>
          <w:lang w:val="en-US" w:eastAsia="zh-CN"/>
        </w:rPr>
        <w:t>有效报价：凡有效投标报价高于平均报价（平均报价的计算方法为所有有效投标报价去掉一个最高和一个最低报价后的算术平均价，当有效投标报价在3家及以下时，平均报价的计算方法为全部有效投标报价的算术平均值）8％及以上，称为有效低价报价，剩余的统称为有效合理报价。</w:t>
      </w:r>
    </w:p>
    <w:p w14:paraId="7BBAC9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6BDD91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383B4C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0C108DD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785769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BB3E5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725F8F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7D9B9B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当K值等于零时，得100分；　　</w:t>
      </w:r>
    </w:p>
    <w:p w14:paraId="510302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当K值大于零时，K值每增1%，在总分上扣</w:t>
      </w:r>
      <w:r>
        <w:rPr>
          <w:rFonts w:hint="eastAsia" w:ascii="仿宋_GB2312" w:hAnsi="仿宋_GB2312" w:eastAsia="仿宋_GB2312" w:cs="仿宋_GB2312"/>
          <w:sz w:val="28"/>
          <w:szCs w:val="28"/>
          <w:lang w:val="en-US" w:eastAsia="zh-CN" w:bidi="ar"/>
        </w:rPr>
        <w:t>0.8</w:t>
      </w:r>
      <w:r>
        <w:rPr>
          <w:rFonts w:hint="eastAsia" w:ascii="仿宋_GB2312" w:hAnsi="仿宋_GB2312" w:eastAsia="仿宋_GB2312" w:cs="仿宋_GB2312"/>
          <w:sz w:val="28"/>
          <w:szCs w:val="28"/>
          <w:lang w:bidi="ar"/>
        </w:rPr>
        <w:t>分；　　</w:t>
      </w:r>
    </w:p>
    <w:p w14:paraId="63516B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当K值小于零时，K值每减1%，在总分上扣</w:t>
      </w:r>
      <w:r>
        <w:rPr>
          <w:rFonts w:hint="eastAsia" w:ascii="仿宋_GB2312" w:hAnsi="仿宋_GB2312" w:eastAsia="仿宋_GB2312" w:cs="仿宋_GB2312"/>
          <w:sz w:val="28"/>
          <w:szCs w:val="28"/>
          <w:lang w:val="en-US" w:eastAsia="zh-CN" w:bidi="ar"/>
        </w:rPr>
        <w:t>0.4</w:t>
      </w:r>
      <w:r>
        <w:rPr>
          <w:rFonts w:hint="eastAsia" w:ascii="仿宋_GB2312" w:hAnsi="仿宋_GB2312" w:eastAsia="仿宋_GB2312" w:cs="仿宋_GB2312"/>
          <w:sz w:val="28"/>
          <w:szCs w:val="28"/>
          <w:lang w:bidi="ar"/>
        </w:rPr>
        <w:t>分</w:t>
      </w:r>
      <w:r>
        <w:rPr>
          <w:rFonts w:hint="eastAsia" w:ascii="仿宋_GB2312" w:hAnsi="仿宋_GB2312" w:eastAsia="仿宋_GB2312" w:cs="仿宋_GB2312"/>
          <w:sz w:val="28"/>
          <w:szCs w:val="28"/>
          <w:lang w:val="en-US" w:eastAsia="zh-CN"/>
        </w:rPr>
        <w:t>；</w:t>
      </w:r>
    </w:p>
    <w:p w14:paraId="47483B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各投标班组最终价格得分=报价得分×</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0%</w:t>
      </w:r>
      <w:r>
        <w:rPr>
          <w:rFonts w:hint="eastAsia" w:ascii="仿宋_GB2312" w:hAnsi="仿宋_GB2312" w:eastAsia="仿宋_GB2312" w:cs="仿宋_GB2312"/>
          <w:sz w:val="28"/>
          <w:szCs w:val="28"/>
          <w:lang w:eastAsia="zh-CN" w:bidi="ar"/>
        </w:rPr>
        <w:t>。</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43E8581C">
      <w:pPr>
        <w:numPr>
          <w:ilvl w:val="0"/>
          <w:numId w:val="1"/>
        </w:numPr>
        <w:shd w:val="clear"/>
        <w:spacing w:line="4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07F8A70A">
      <w:pPr>
        <w:numPr>
          <w:ilvl w:val="0"/>
          <w:numId w:val="1"/>
        </w:numPr>
        <w:shd w:val="clear"/>
        <w:spacing w:line="4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cyan"/>
          <w:lang w:val="en-US" w:eastAsia="zh-CN"/>
        </w:rPr>
        <w:t>技术标得分。</w:t>
      </w:r>
      <w:r>
        <w:rPr>
          <w:rFonts w:hint="eastAsia" w:ascii="仿宋_GB2312" w:hAnsi="仿宋_GB2312" w:eastAsia="仿宋_GB2312" w:cs="仿宋_GB2312"/>
          <w:sz w:val="28"/>
          <w:szCs w:val="28"/>
          <w:lang w:val="en-US" w:eastAsia="zh-CN"/>
        </w:rPr>
        <w:t>技术标总分100分，按以下标准评定。</w:t>
      </w:r>
    </w:p>
    <w:tbl>
      <w:tblPr>
        <w:tblStyle w:val="14"/>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25"/>
        <w:gridCol w:w="6211"/>
        <w:gridCol w:w="948"/>
      </w:tblGrid>
      <w:tr w14:paraId="2BB4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5" w:type="dxa"/>
            <w:tcBorders>
              <w:bottom w:val="single" w:color="auto" w:sz="4" w:space="0"/>
            </w:tcBorders>
            <w:noWrap w:val="0"/>
            <w:vAlign w:val="center"/>
          </w:tcPr>
          <w:p w14:paraId="19A1A4DC">
            <w:pPr>
              <w:shd w:val="clear"/>
              <w:spacing w:line="500" w:lineRule="exac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序号</w:t>
            </w:r>
          </w:p>
        </w:tc>
        <w:tc>
          <w:tcPr>
            <w:tcW w:w="8336" w:type="dxa"/>
            <w:gridSpan w:val="2"/>
            <w:tcBorders>
              <w:bottom w:val="single" w:color="auto" w:sz="4" w:space="0"/>
            </w:tcBorders>
            <w:noWrap w:val="0"/>
            <w:vAlign w:val="center"/>
          </w:tcPr>
          <w:p w14:paraId="28381825">
            <w:pPr>
              <w:shd w:val="clea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评分内容</w:t>
            </w:r>
          </w:p>
        </w:tc>
        <w:tc>
          <w:tcPr>
            <w:tcW w:w="948" w:type="dxa"/>
            <w:tcBorders>
              <w:bottom w:val="single" w:color="auto" w:sz="4" w:space="0"/>
            </w:tcBorders>
            <w:noWrap w:val="0"/>
            <w:vAlign w:val="center"/>
          </w:tcPr>
          <w:p w14:paraId="7D493FE8">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rPr>
              <w:t>最高</w:t>
            </w:r>
          </w:p>
          <w:p w14:paraId="1905F7E3">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rPr>
              <w:t>得分</w:t>
            </w:r>
          </w:p>
        </w:tc>
      </w:tr>
      <w:tr w14:paraId="5969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705" w:type="dxa"/>
            <w:noWrap w:val="0"/>
            <w:vAlign w:val="center"/>
          </w:tcPr>
          <w:p w14:paraId="4F7FBE0D">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1</w:t>
            </w:r>
          </w:p>
        </w:tc>
        <w:tc>
          <w:tcPr>
            <w:tcW w:w="2125" w:type="dxa"/>
            <w:noWrap w:val="0"/>
            <w:vAlign w:val="center"/>
          </w:tcPr>
          <w:p w14:paraId="400AB0C1">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服务方案</w:t>
            </w:r>
          </w:p>
        </w:tc>
        <w:tc>
          <w:tcPr>
            <w:tcW w:w="6211" w:type="dxa"/>
            <w:noWrap w:val="0"/>
            <w:vAlign w:val="center"/>
          </w:tcPr>
          <w:p w14:paraId="5752EE1C">
            <w:pPr>
              <w:shd w:val="clear"/>
              <w:spacing w:line="240" w:lineRule="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rPr>
              <w:t>服务方案</w:t>
            </w:r>
            <w:r>
              <w:rPr>
                <w:rFonts w:hint="eastAsia" w:ascii="仿宋" w:hAnsi="仿宋" w:eastAsia="仿宋" w:cs="仿宋"/>
                <w:color w:val="FF0000"/>
                <w:sz w:val="24"/>
                <w:szCs w:val="24"/>
                <w:highlight w:val="none"/>
                <w:lang w:val="en-US" w:eastAsia="zh-CN"/>
              </w:rPr>
              <w:t>从</w:t>
            </w:r>
            <w:r>
              <w:rPr>
                <w:rFonts w:hint="eastAsia" w:ascii="仿宋" w:hAnsi="仿宋" w:eastAsia="仿宋" w:cs="仿宋"/>
                <w:color w:val="FF0000"/>
                <w:sz w:val="24"/>
                <w:szCs w:val="24"/>
                <w:highlight w:val="none"/>
              </w:rPr>
              <w:t>运行管理模式</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实施方案等方面入手，</w:t>
            </w:r>
            <w:r>
              <w:rPr>
                <w:rFonts w:hint="eastAsia" w:ascii="仿宋" w:hAnsi="仿宋" w:eastAsia="仿宋" w:cs="仿宋"/>
                <w:color w:val="FF0000"/>
                <w:sz w:val="24"/>
                <w:szCs w:val="24"/>
                <w:highlight w:val="none"/>
              </w:rPr>
              <w:t>方案合理、详细的</w:t>
            </w:r>
            <w:r>
              <w:rPr>
                <w:rFonts w:hint="eastAsia" w:ascii="仿宋" w:hAnsi="仿宋" w:eastAsia="仿宋" w:cs="仿宋"/>
                <w:color w:val="FF0000"/>
                <w:sz w:val="24"/>
                <w:szCs w:val="24"/>
                <w:highlight w:val="none"/>
                <w:lang w:val="en-US" w:eastAsia="zh-CN"/>
              </w:rPr>
              <w:t>得20分；</w:t>
            </w:r>
            <w:r>
              <w:rPr>
                <w:rFonts w:hint="eastAsia" w:ascii="仿宋" w:hAnsi="仿宋" w:eastAsia="仿宋" w:cs="仿宋"/>
                <w:color w:val="FF0000"/>
                <w:sz w:val="24"/>
                <w:szCs w:val="24"/>
                <w:highlight w:val="none"/>
              </w:rPr>
              <w:t>方案欠缺或不完整的每项扣</w:t>
            </w:r>
            <w:r>
              <w:rPr>
                <w:rFonts w:hint="eastAsia" w:ascii="仿宋" w:hAnsi="仿宋" w:eastAsia="仿宋" w:cs="仿宋"/>
                <w:color w:val="FF0000"/>
                <w:sz w:val="24"/>
                <w:szCs w:val="24"/>
                <w:highlight w:val="none"/>
                <w:lang w:val="en-US" w:eastAsia="zh-CN"/>
              </w:rPr>
              <w:t>5</w:t>
            </w:r>
            <w:r>
              <w:rPr>
                <w:rFonts w:hint="eastAsia" w:ascii="仿宋" w:hAnsi="仿宋" w:eastAsia="仿宋" w:cs="仿宋"/>
                <w:color w:val="FF0000"/>
                <w:sz w:val="24"/>
                <w:szCs w:val="24"/>
                <w:highlight w:val="none"/>
              </w:rPr>
              <w:t>分，扣完为止</w:t>
            </w:r>
            <w:r>
              <w:rPr>
                <w:rFonts w:hint="eastAsia" w:ascii="仿宋" w:hAnsi="仿宋" w:eastAsia="仿宋" w:cs="仿宋"/>
                <w:color w:val="FF0000"/>
                <w:sz w:val="24"/>
                <w:szCs w:val="24"/>
                <w:highlight w:val="none"/>
                <w:lang w:val="en-US" w:eastAsia="zh-CN"/>
              </w:rPr>
              <w:t>.</w:t>
            </w:r>
          </w:p>
        </w:tc>
        <w:tc>
          <w:tcPr>
            <w:tcW w:w="948" w:type="dxa"/>
            <w:noWrap w:val="0"/>
            <w:vAlign w:val="center"/>
          </w:tcPr>
          <w:p w14:paraId="617E1819">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20</w:t>
            </w:r>
            <w:r>
              <w:rPr>
                <w:rFonts w:hint="eastAsia" w:ascii="仿宋" w:hAnsi="仿宋" w:eastAsia="仿宋" w:cs="仿宋"/>
                <w:color w:val="FF0000"/>
                <w:sz w:val="24"/>
                <w:szCs w:val="24"/>
              </w:rPr>
              <w:t>分</w:t>
            </w:r>
          </w:p>
        </w:tc>
      </w:tr>
      <w:tr w14:paraId="2CCA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705" w:type="dxa"/>
            <w:noWrap w:val="0"/>
            <w:vAlign w:val="center"/>
          </w:tcPr>
          <w:p w14:paraId="0B562FA3">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2</w:t>
            </w:r>
          </w:p>
        </w:tc>
        <w:tc>
          <w:tcPr>
            <w:tcW w:w="2125" w:type="dxa"/>
            <w:noWrap w:val="0"/>
            <w:vAlign w:val="center"/>
          </w:tcPr>
          <w:p w14:paraId="3DA3877C">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重点难点分析</w:t>
            </w:r>
          </w:p>
        </w:tc>
        <w:tc>
          <w:tcPr>
            <w:tcW w:w="6211" w:type="dxa"/>
            <w:noWrap w:val="0"/>
            <w:vAlign w:val="center"/>
          </w:tcPr>
          <w:p w14:paraId="0CF51C8D">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项目重点、难点的分析和解决方案精确、全面，解决方案具有针对性和可操作性的得</w:t>
            </w:r>
            <w:r>
              <w:rPr>
                <w:rFonts w:hint="eastAsia" w:ascii="仿宋" w:hAnsi="仿宋" w:eastAsia="仿宋" w:cs="仿宋"/>
                <w:color w:val="FF0000"/>
                <w:sz w:val="24"/>
                <w:szCs w:val="24"/>
                <w:highlight w:val="none"/>
                <w:lang w:val="en-US" w:eastAsia="zh-CN"/>
              </w:rPr>
              <w:t>10-14</w:t>
            </w:r>
            <w:r>
              <w:rPr>
                <w:rFonts w:hint="eastAsia" w:ascii="仿宋" w:hAnsi="仿宋" w:eastAsia="仿宋" w:cs="仿宋"/>
                <w:color w:val="FF0000"/>
                <w:sz w:val="24"/>
                <w:szCs w:val="24"/>
                <w:highlight w:val="none"/>
              </w:rPr>
              <w:t>分；重点难点分析基本合理但欠缺的得</w:t>
            </w:r>
            <w:r>
              <w:rPr>
                <w:rFonts w:hint="eastAsia" w:ascii="仿宋" w:hAnsi="仿宋" w:eastAsia="仿宋" w:cs="仿宋"/>
                <w:color w:val="FF0000"/>
                <w:sz w:val="24"/>
                <w:szCs w:val="24"/>
                <w:highlight w:val="none"/>
                <w:lang w:val="en-US" w:eastAsia="zh-CN"/>
              </w:rPr>
              <w:t>5-9</w:t>
            </w:r>
            <w:r>
              <w:rPr>
                <w:rFonts w:hint="eastAsia" w:ascii="仿宋" w:hAnsi="仿宋" w:eastAsia="仿宋" w:cs="仿宋"/>
                <w:color w:val="FF0000"/>
                <w:sz w:val="24"/>
                <w:szCs w:val="24"/>
                <w:highlight w:val="none"/>
              </w:rPr>
              <w:t>分；重点难点分析存在明显缺陷的，得0-</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rPr>
              <w:t>分。</w:t>
            </w:r>
          </w:p>
        </w:tc>
        <w:tc>
          <w:tcPr>
            <w:tcW w:w="948" w:type="dxa"/>
            <w:noWrap w:val="0"/>
            <w:vAlign w:val="center"/>
          </w:tcPr>
          <w:p w14:paraId="1D51AC02">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12</w:t>
            </w:r>
            <w:r>
              <w:rPr>
                <w:rFonts w:hint="eastAsia" w:ascii="仿宋" w:hAnsi="仿宋" w:eastAsia="仿宋" w:cs="仿宋"/>
                <w:color w:val="FF0000"/>
                <w:sz w:val="24"/>
                <w:szCs w:val="24"/>
              </w:rPr>
              <w:t>分</w:t>
            </w:r>
          </w:p>
        </w:tc>
      </w:tr>
      <w:tr w14:paraId="32C4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05" w:type="dxa"/>
            <w:noWrap w:val="0"/>
            <w:vAlign w:val="center"/>
          </w:tcPr>
          <w:p w14:paraId="51858F20">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3</w:t>
            </w:r>
          </w:p>
        </w:tc>
        <w:tc>
          <w:tcPr>
            <w:tcW w:w="2125" w:type="dxa"/>
            <w:noWrap w:val="0"/>
            <w:vAlign w:val="center"/>
          </w:tcPr>
          <w:p w14:paraId="34256495">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安全文明保障方案</w:t>
            </w:r>
          </w:p>
        </w:tc>
        <w:tc>
          <w:tcPr>
            <w:tcW w:w="6211" w:type="dxa"/>
            <w:noWrap w:val="0"/>
            <w:vAlign w:val="top"/>
          </w:tcPr>
          <w:p w14:paraId="0AF5B27D">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安全、文明施工保障措施是否符合政府部门及本项目要求，人员安全、车辆运输、项目施工过程的中各项安全文明是否均有体现、编制合理、科学、可操作性强</w:t>
            </w:r>
            <w:r>
              <w:rPr>
                <w:rFonts w:hint="eastAsia" w:ascii="仿宋" w:hAnsi="仿宋" w:eastAsia="仿宋" w:cs="仿宋"/>
                <w:color w:val="FF0000"/>
                <w:sz w:val="24"/>
                <w:szCs w:val="24"/>
                <w:highlight w:val="none"/>
                <w:lang w:eastAsia="zh-CN"/>
              </w:rPr>
              <w:t>的得</w:t>
            </w:r>
            <w:r>
              <w:rPr>
                <w:rFonts w:hint="eastAsia" w:ascii="仿宋" w:hAnsi="仿宋" w:eastAsia="仿宋" w:cs="仿宋"/>
                <w:color w:val="FF0000"/>
                <w:sz w:val="24"/>
                <w:szCs w:val="24"/>
                <w:highlight w:val="none"/>
                <w:lang w:val="en-US" w:eastAsia="zh-CN"/>
              </w:rPr>
              <w:t>10-14分</w:t>
            </w:r>
            <w:r>
              <w:rPr>
                <w:rFonts w:hint="eastAsia" w:ascii="仿宋" w:hAnsi="仿宋" w:eastAsia="仿宋" w:cs="仿宋"/>
                <w:color w:val="FF0000"/>
                <w:sz w:val="24"/>
                <w:szCs w:val="24"/>
                <w:highlight w:val="none"/>
              </w:rPr>
              <w:t>，编制合理、科学、可操作性</w:t>
            </w:r>
            <w:r>
              <w:rPr>
                <w:rFonts w:hint="eastAsia" w:ascii="仿宋" w:hAnsi="仿宋" w:eastAsia="仿宋" w:cs="仿宋"/>
                <w:color w:val="FF0000"/>
                <w:sz w:val="24"/>
                <w:szCs w:val="24"/>
                <w:highlight w:val="none"/>
                <w:lang w:eastAsia="zh-CN"/>
              </w:rPr>
              <w:t>一般</w:t>
            </w:r>
            <w:r>
              <w:rPr>
                <w:rFonts w:hint="eastAsia" w:ascii="仿宋" w:hAnsi="仿宋" w:eastAsia="仿宋" w:cs="仿宋"/>
                <w:color w:val="FF0000"/>
                <w:sz w:val="24"/>
                <w:szCs w:val="24"/>
                <w:highlight w:val="none"/>
              </w:rPr>
              <w:t>的得</w:t>
            </w:r>
            <w:r>
              <w:rPr>
                <w:rFonts w:hint="eastAsia" w:ascii="仿宋" w:hAnsi="仿宋" w:eastAsia="仿宋" w:cs="仿宋"/>
                <w:color w:val="FF0000"/>
                <w:sz w:val="24"/>
                <w:szCs w:val="24"/>
                <w:highlight w:val="none"/>
                <w:lang w:val="en-US" w:eastAsia="zh-CN"/>
              </w:rPr>
              <w:t>5-9</w:t>
            </w:r>
            <w:r>
              <w:rPr>
                <w:rFonts w:hint="eastAsia" w:ascii="仿宋" w:hAnsi="仿宋" w:eastAsia="仿宋" w:cs="仿宋"/>
                <w:color w:val="FF0000"/>
                <w:sz w:val="24"/>
                <w:szCs w:val="24"/>
                <w:highlight w:val="none"/>
              </w:rPr>
              <w:t>分，编制合理、科学、可操作性</w:t>
            </w:r>
            <w:r>
              <w:rPr>
                <w:rFonts w:hint="eastAsia" w:ascii="仿宋" w:hAnsi="仿宋" w:eastAsia="仿宋" w:cs="仿宋"/>
                <w:color w:val="FF0000"/>
                <w:sz w:val="24"/>
                <w:szCs w:val="24"/>
                <w:highlight w:val="none"/>
                <w:lang w:val="en-US" w:eastAsia="zh-CN"/>
              </w:rPr>
              <w:t>差</w:t>
            </w:r>
            <w:r>
              <w:rPr>
                <w:rFonts w:hint="eastAsia" w:ascii="仿宋" w:hAnsi="仿宋" w:eastAsia="仿宋" w:cs="仿宋"/>
                <w:color w:val="FF0000"/>
                <w:sz w:val="24"/>
                <w:szCs w:val="24"/>
                <w:highlight w:val="none"/>
              </w:rPr>
              <w:t>的</w:t>
            </w:r>
            <w:r>
              <w:rPr>
                <w:rFonts w:hint="eastAsia" w:ascii="仿宋" w:hAnsi="仿宋" w:eastAsia="仿宋" w:cs="仿宋"/>
                <w:color w:val="FF0000"/>
                <w:sz w:val="24"/>
                <w:szCs w:val="24"/>
                <w:highlight w:val="none"/>
                <w:lang w:val="en-US" w:eastAsia="zh-CN"/>
              </w:rPr>
              <w:t>得</w:t>
            </w:r>
            <w:r>
              <w:rPr>
                <w:rFonts w:hint="eastAsia" w:ascii="仿宋" w:hAnsi="仿宋" w:eastAsia="仿宋" w:cs="仿宋"/>
                <w:color w:val="FF0000"/>
                <w:sz w:val="24"/>
                <w:szCs w:val="24"/>
                <w:highlight w:val="none"/>
              </w:rPr>
              <w:t>0-</w:t>
            </w:r>
            <w:r>
              <w:rPr>
                <w:rFonts w:hint="eastAsia" w:ascii="仿宋" w:hAnsi="仿宋" w:eastAsia="仿宋" w:cs="仿宋"/>
                <w:color w:val="FF0000"/>
                <w:sz w:val="24"/>
                <w:szCs w:val="24"/>
                <w:highlight w:val="none"/>
                <w:lang w:val="en-US" w:eastAsia="zh-CN"/>
              </w:rPr>
              <w:t>4分</w:t>
            </w:r>
          </w:p>
        </w:tc>
        <w:tc>
          <w:tcPr>
            <w:tcW w:w="948" w:type="dxa"/>
            <w:noWrap w:val="0"/>
            <w:vAlign w:val="center"/>
          </w:tcPr>
          <w:p w14:paraId="68B6F9EA">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12</w:t>
            </w:r>
            <w:r>
              <w:rPr>
                <w:rFonts w:hint="eastAsia" w:ascii="仿宋" w:hAnsi="仿宋" w:eastAsia="仿宋" w:cs="仿宋"/>
                <w:color w:val="FF0000"/>
                <w:sz w:val="24"/>
                <w:szCs w:val="24"/>
              </w:rPr>
              <w:t>分</w:t>
            </w:r>
          </w:p>
        </w:tc>
      </w:tr>
      <w:tr w14:paraId="3A97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05" w:type="dxa"/>
            <w:noWrap w:val="0"/>
            <w:vAlign w:val="center"/>
          </w:tcPr>
          <w:p w14:paraId="685C0C23">
            <w:pPr>
              <w:shd w:val="clear"/>
              <w:spacing w:line="5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2125" w:type="dxa"/>
            <w:noWrap w:val="0"/>
            <w:vAlign w:val="center"/>
          </w:tcPr>
          <w:p w14:paraId="1718EE05">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管理制度</w:t>
            </w:r>
          </w:p>
        </w:tc>
        <w:tc>
          <w:tcPr>
            <w:tcW w:w="6211" w:type="dxa"/>
            <w:noWrap w:val="0"/>
            <w:vAlign w:val="top"/>
          </w:tcPr>
          <w:p w14:paraId="4B5F3B54">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针对本项目制订的各项内部管理制度、考核监督制度等，视其制度的科学性、全面性、针对性及可操作性综合评审，其制度的科学性、全面性、针对性及可操作性</w:t>
            </w:r>
            <w:r>
              <w:rPr>
                <w:rFonts w:hint="eastAsia" w:ascii="仿宋" w:hAnsi="仿宋" w:eastAsia="仿宋" w:cs="仿宋"/>
                <w:color w:val="FF0000"/>
                <w:sz w:val="24"/>
                <w:szCs w:val="24"/>
                <w:highlight w:val="none"/>
                <w:lang w:eastAsia="zh-CN"/>
              </w:rPr>
              <w:t>强的得</w:t>
            </w:r>
            <w:r>
              <w:rPr>
                <w:rFonts w:hint="eastAsia" w:ascii="仿宋" w:hAnsi="仿宋" w:eastAsia="仿宋" w:cs="仿宋"/>
                <w:color w:val="FF0000"/>
                <w:sz w:val="24"/>
                <w:szCs w:val="24"/>
                <w:highlight w:val="none"/>
                <w:lang w:val="en-US" w:eastAsia="zh-CN"/>
              </w:rPr>
              <w:t>10-14分，一般的得5-9分，差的得0-4分</w:t>
            </w:r>
          </w:p>
        </w:tc>
        <w:tc>
          <w:tcPr>
            <w:tcW w:w="948" w:type="dxa"/>
            <w:noWrap w:val="0"/>
            <w:vAlign w:val="center"/>
          </w:tcPr>
          <w:p w14:paraId="0255120A">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14</w:t>
            </w:r>
            <w:r>
              <w:rPr>
                <w:rFonts w:hint="eastAsia" w:ascii="仿宋" w:hAnsi="仿宋" w:eastAsia="仿宋" w:cs="仿宋"/>
                <w:color w:val="FF0000"/>
                <w:sz w:val="24"/>
                <w:szCs w:val="24"/>
              </w:rPr>
              <w:t>分</w:t>
            </w:r>
          </w:p>
        </w:tc>
      </w:tr>
      <w:tr w14:paraId="0884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705" w:type="dxa"/>
            <w:noWrap w:val="0"/>
            <w:vAlign w:val="center"/>
          </w:tcPr>
          <w:p w14:paraId="24020678">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5</w:t>
            </w:r>
          </w:p>
        </w:tc>
        <w:tc>
          <w:tcPr>
            <w:tcW w:w="2125" w:type="dxa"/>
            <w:noWrap w:val="0"/>
            <w:vAlign w:val="center"/>
          </w:tcPr>
          <w:p w14:paraId="0D713279">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编制措施</w:t>
            </w:r>
          </w:p>
        </w:tc>
        <w:tc>
          <w:tcPr>
            <w:tcW w:w="6211" w:type="dxa"/>
            <w:noWrap w:val="0"/>
            <w:vAlign w:val="center"/>
          </w:tcPr>
          <w:p w14:paraId="1B716848">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有效建议和措施每项得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分，最高得</w:t>
            </w:r>
            <w:r>
              <w:rPr>
                <w:rFonts w:hint="eastAsia" w:ascii="仿宋" w:hAnsi="仿宋" w:eastAsia="仿宋" w:cs="仿宋"/>
                <w:color w:val="FF0000"/>
                <w:sz w:val="24"/>
                <w:szCs w:val="24"/>
                <w:highlight w:val="none"/>
                <w:lang w:val="en-US" w:eastAsia="zh-CN"/>
              </w:rPr>
              <w:t>6</w:t>
            </w:r>
            <w:r>
              <w:rPr>
                <w:rFonts w:hint="eastAsia" w:ascii="仿宋" w:hAnsi="仿宋" w:eastAsia="仿宋" w:cs="仿宋"/>
                <w:color w:val="FF0000"/>
                <w:sz w:val="24"/>
                <w:szCs w:val="24"/>
                <w:highlight w:val="none"/>
              </w:rPr>
              <w:t>分</w:t>
            </w:r>
          </w:p>
        </w:tc>
        <w:tc>
          <w:tcPr>
            <w:tcW w:w="948" w:type="dxa"/>
            <w:noWrap w:val="0"/>
            <w:vAlign w:val="center"/>
          </w:tcPr>
          <w:p w14:paraId="6DC13442">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6</w:t>
            </w:r>
            <w:r>
              <w:rPr>
                <w:rFonts w:hint="eastAsia" w:ascii="仿宋" w:hAnsi="仿宋" w:eastAsia="仿宋" w:cs="仿宋"/>
                <w:color w:val="FF0000"/>
                <w:sz w:val="24"/>
                <w:szCs w:val="24"/>
              </w:rPr>
              <w:t>分</w:t>
            </w:r>
          </w:p>
        </w:tc>
      </w:tr>
      <w:tr w14:paraId="4E91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705" w:type="dxa"/>
            <w:noWrap w:val="0"/>
            <w:vAlign w:val="center"/>
          </w:tcPr>
          <w:p w14:paraId="039033EC">
            <w:pPr>
              <w:shd w:val="clear"/>
              <w:spacing w:line="500" w:lineRule="exact"/>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bookmarkStart w:id="12" w:name="_GoBack"/>
            <w:bookmarkEnd w:id="12"/>
          </w:p>
        </w:tc>
        <w:tc>
          <w:tcPr>
            <w:tcW w:w="2125" w:type="dxa"/>
            <w:noWrap w:val="0"/>
            <w:vAlign w:val="center"/>
          </w:tcPr>
          <w:p w14:paraId="62B54D3A">
            <w:pPr>
              <w:shd w:val="clea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服务保障</w:t>
            </w:r>
          </w:p>
        </w:tc>
        <w:tc>
          <w:tcPr>
            <w:tcW w:w="6211" w:type="dxa"/>
            <w:noWrap w:val="0"/>
            <w:vAlign w:val="top"/>
          </w:tcPr>
          <w:p w14:paraId="09D2701D">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1</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服务</w:t>
            </w:r>
            <w:r>
              <w:rPr>
                <w:rFonts w:hint="eastAsia" w:ascii="仿宋" w:hAnsi="仿宋" w:eastAsia="仿宋" w:cs="仿宋"/>
                <w:color w:val="FF0000"/>
                <w:sz w:val="24"/>
                <w:szCs w:val="24"/>
                <w:highlight w:val="none"/>
                <w:lang w:val="en-US" w:eastAsia="zh-CN"/>
              </w:rPr>
              <w:t>保障</w:t>
            </w:r>
            <w:r>
              <w:rPr>
                <w:rFonts w:hint="eastAsia" w:ascii="仿宋" w:hAnsi="仿宋" w:eastAsia="仿宋" w:cs="仿宋"/>
                <w:color w:val="FF0000"/>
                <w:sz w:val="24"/>
                <w:szCs w:val="24"/>
                <w:highlight w:val="none"/>
              </w:rPr>
              <w:t>方案和承诺以及人员到位时间承诺完整、可行，落实保障措施和其他承诺等全面周到的得</w:t>
            </w:r>
            <w:r>
              <w:rPr>
                <w:rFonts w:hint="eastAsia" w:ascii="仿宋" w:hAnsi="仿宋" w:eastAsia="仿宋" w:cs="仿宋"/>
                <w:color w:val="FF0000"/>
                <w:sz w:val="24"/>
                <w:szCs w:val="24"/>
                <w:highlight w:val="none"/>
                <w:lang w:val="en-US" w:eastAsia="zh-CN"/>
              </w:rPr>
              <w:t>10-14</w:t>
            </w:r>
            <w:r>
              <w:rPr>
                <w:rFonts w:hint="eastAsia" w:ascii="仿宋" w:hAnsi="仿宋" w:eastAsia="仿宋" w:cs="仿宋"/>
                <w:color w:val="FF0000"/>
                <w:sz w:val="24"/>
                <w:szCs w:val="24"/>
                <w:highlight w:val="none"/>
              </w:rPr>
              <w:t>分，服务方案不全面，落实保障措施和其他承诺欠缺的得</w:t>
            </w:r>
            <w:r>
              <w:rPr>
                <w:rFonts w:hint="eastAsia" w:ascii="仿宋" w:hAnsi="仿宋" w:eastAsia="仿宋" w:cs="仿宋"/>
                <w:color w:val="FF0000"/>
                <w:sz w:val="24"/>
                <w:szCs w:val="24"/>
                <w:highlight w:val="none"/>
                <w:lang w:val="en-US" w:eastAsia="zh-CN"/>
              </w:rPr>
              <w:t>0-9</w:t>
            </w:r>
            <w:r>
              <w:rPr>
                <w:rFonts w:hint="eastAsia" w:ascii="仿宋" w:hAnsi="仿宋" w:eastAsia="仿宋" w:cs="仿宋"/>
                <w:color w:val="FF0000"/>
                <w:sz w:val="24"/>
                <w:szCs w:val="24"/>
                <w:highlight w:val="none"/>
              </w:rPr>
              <w:t>分，除招标文件规定内容外无其他服务承诺的，该项不得分；</w:t>
            </w:r>
          </w:p>
          <w:p w14:paraId="014E3793">
            <w:pPr>
              <w:keepNext w:val="0"/>
              <w:keepLines w:val="0"/>
              <w:widowControl/>
              <w:suppressLineNumbers w:val="0"/>
              <w:shd w:val="clear"/>
              <w:jc w:val="lef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rPr>
              <w:t>2.应急响应时间：在接到招标人通知（电话、电传等）后2小时内现场响应并开展工作的得</w:t>
            </w:r>
            <w:r>
              <w:rPr>
                <w:rFonts w:hint="eastAsia" w:ascii="仿宋" w:hAnsi="仿宋" w:eastAsia="仿宋" w:cs="仿宋"/>
                <w:color w:val="FF0000"/>
                <w:sz w:val="24"/>
                <w:szCs w:val="24"/>
                <w:highlight w:val="none"/>
                <w:lang w:val="en-US" w:eastAsia="zh-CN"/>
              </w:rPr>
              <w:t>6</w:t>
            </w:r>
            <w:r>
              <w:rPr>
                <w:rFonts w:hint="eastAsia" w:ascii="仿宋" w:hAnsi="仿宋" w:eastAsia="仿宋" w:cs="仿宋"/>
                <w:color w:val="FF0000"/>
                <w:sz w:val="24"/>
                <w:szCs w:val="24"/>
                <w:highlight w:val="none"/>
              </w:rPr>
              <w:t>分；</w:t>
            </w:r>
          </w:p>
        </w:tc>
        <w:tc>
          <w:tcPr>
            <w:tcW w:w="948" w:type="dxa"/>
            <w:noWrap w:val="0"/>
            <w:vAlign w:val="center"/>
          </w:tcPr>
          <w:p w14:paraId="22AF254F">
            <w:pPr>
              <w:shd w:val="clea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20</w:t>
            </w:r>
            <w:r>
              <w:rPr>
                <w:rFonts w:hint="eastAsia" w:ascii="仿宋" w:hAnsi="仿宋" w:eastAsia="仿宋" w:cs="仿宋"/>
                <w:color w:val="FF0000"/>
                <w:sz w:val="24"/>
                <w:szCs w:val="24"/>
              </w:rPr>
              <w:t>分</w:t>
            </w:r>
          </w:p>
        </w:tc>
      </w:tr>
      <w:tr w14:paraId="7960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705" w:type="dxa"/>
            <w:noWrap w:val="0"/>
            <w:vAlign w:val="center"/>
          </w:tcPr>
          <w:p w14:paraId="616A3B9D">
            <w:pPr>
              <w:shd w:val="clear"/>
              <w:spacing w:line="340" w:lineRule="exact"/>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7</w:t>
            </w:r>
          </w:p>
        </w:tc>
        <w:tc>
          <w:tcPr>
            <w:tcW w:w="2125" w:type="dxa"/>
            <w:noWrap w:val="0"/>
            <w:vAlign w:val="center"/>
          </w:tcPr>
          <w:p w14:paraId="0BEB91A2">
            <w:pPr>
              <w:shd w:val="clear"/>
              <w:spacing w:line="34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应急保障措施</w:t>
            </w:r>
          </w:p>
        </w:tc>
        <w:tc>
          <w:tcPr>
            <w:tcW w:w="6211" w:type="dxa"/>
            <w:noWrap w:val="0"/>
            <w:vAlign w:val="center"/>
          </w:tcPr>
          <w:p w14:paraId="4CBC1DC7">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根据投标人提供的应急保障措施（突发事件应急处理及重大活动保障的人员配置、机械配置、应急处置方案，落实专职人员等内容）,视其方案是否覆盖全面，是否科学合理，是否具有针对性和可操作性等进行综合评审，本项最高得12分。</w:t>
            </w:r>
          </w:p>
        </w:tc>
        <w:tc>
          <w:tcPr>
            <w:tcW w:w="948" w:type="dxa"/>
            <w:noWrap w:val="0"/>
            <w:vAlign w:val="center"/>
          </w:tcPr>
          <w:p w14:paraId="0A617D54">
            <w:pPr>
              <w:shd w:val="clea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12分</w:t>
            </w:r>
          </w:p>
        </w:tc>
      </w:tr>
      <w:tr w14:paraId="2EDD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705" w:type="dxa"/>
            <w:noWrap w:val="0"/>
            <w:vAlign w:val="center"/>
          </w:tcPr>
          <w:p w14:paraId="1E16C3EF">
            <w:pPr>
              <w:shd w:val="clear"/>
              <w:spacing w:line="340" w:lineRule="exact"/>
              <w:jc w:val="center"/>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8</w:t>
            </w:r>
          </w:p>
        </w:tc>
        <w:tc>
          <w:tcPr>
            <w:tcW w:w="2125" w:type="dxa"/>
            <w:shd w:val="clear" w:color="auto" w:fill="auto"/>
            <w:noWrap w:val="0"/>
            <w:vAlign w:val="center"/>
          </w:tcPr>
          <w:p w14:paraId="1359D645">
            <w:pPr>
              <w:keepNext w:val="0"/>
              <w:keepLines w:val="0"/>
              <w:widowControl/>
              <w:suppressLineNumbers w:val="0"/>
              <w:shd w:val="clear"/>
              <w:jc w:val="center"/>
              <w:rPr>
                <w:rFonts w:hint="eastAsia" w:ascii="仿宋" w:hAnsi="仿宋" w:eastAsia="仿宋" w:cs="仿宋"/>
                <w:color w:val="FF0000"/>
                <w:kern w:val="0"/>
                <w:sz w:val="24"/>
                <w:szCs w:val="24"/>
                <w:highlight w:val="none"/>
                <w:lang w:val="en-US" w:eastAsia="zh-CN" w:bidi="ar"/>
              </w:rPr>
            </w:pPr>
            <w:r>
              <w:rPr>
                <w:rFonts w:hint="eastAsia" w:ascii="仿宋" w:hAnsi="仿宋" w:eastAsia="仿宋" w:cs="仿宋"/>
                <w:color w:val="FF0000"/>
                <w:kern w:val="0"/>
                <w:sz w:val="24"/>
                <w:szCs w:val="24"/>
                <w:highlight w:val="none"/>
                <w:lang w:val="en-US" w:eastAsia="zh-CN" w:bidi="ar"/>
              </w:rPr>
              <w:t>同类项目业绩</w:t>
            </w:r>
          </w:p>
        </w:tc>
        <w:tc>
          <w:tcPr>
            <w:tcW w:w="6211" w:type="dxa"/>
            <w:shd w:val="clear" w:color="auto" w:fill="auto"/>
            <w:noWrap w:val="0"/>
            <w:vAlign w:val="center"/>
          </w:tcPr>
          <w:p w14:paraId="6499A738">
            <w:pPr>
              <w:keepNext w:val="0"/>
              <w:keepLines w:val="0"/>
              <w:widowControl/>
              <w:suppressLineNumbers w:val="0"/>
              <w:shd w:val="clear"/>
              <w:jc w:val="left"/>
              <w:rPr>
                <w:rFonts w:hint="eastAsia" w:ascii="仿宋" w:hAnsi="仿宋" w:eastAsia="仿宋" w:cs="仿宋"/>
                <w:color w:val="FF0000"/>
                <w:kern w:val="0"/>
                <w:sz w:val="24"/>
                <w:szCs w:val="24"/>
                <w:highlight w:val="none"/>
                <w:lang w:val="en-US" w:eastAsia="zh-CN" w:bidi="ar"/>
              </w:rPr>
            </w:pPr>
            <w:r>
              <w:rPr>
                <w:rFonts w:hint="eastAsia" w:ascii="仿宋" w:hAnsi="仿宋" w:eastAsia="仿宋" w:cs="仿宋"/>
                <w:color w:val="FF0000"/>
                <w:kern w:val="0"/>
                <w:sz w:val="24"/>
                <w:szCs w:val="24"/>
                <w:highlight w:val="none"/>
                <w:lang w:val="en-US" w:eastAsia="zh-CN" w:bidi="ar"/>
              </w:rPr>
              <w:t>自2021年12月1日以来（以合同签订时间为准）供应商承担过类似项目的，每提供一个得2分，最高得4分。（提供中标通知书与合同扫描件，否则不得分）4分</w:t>
            </w:r>
          </w:p>
        </w:tc>
        <w:tc>
          <w:tcPr>
            <w:tcW w:w="948" w:type="dxa"/>
            <w:noWrap w:val="0"/>
            <w:vAlign w:val="center"/>
          </w:tcPr>
          <w:p w14:paraId="02712380">
            <w:pPr>
              <w:shd w:val="clear"/>
              <w:spacing w:line="500" w:lineRule="exact"/>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4分</w:t>
            </w:r>
          </w:p>
        </w:tc>
      </w:tr>
    </w:tbl>
    <w:p w14:paraId="50BD368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各投标班组最终</w:t>
      </w:r>
      <w:r>
        <w:rPr>
          <w:rFonts w:hint="eastAsia" w:ascii="仿宋_GB2312" w:hAnsi="仿宋_GB2312" w:eastAsia="仿宋_GB2312" w:cs="仿宋_GB2312"/>
          <w:sz w:val="28"/>
          <w:szCs w:val="28"/>
          <w:lang w:val="en-US" w:eastAsia="zh-CN" w:bidi="ar"/>
        </w:rPr>
        <w:t>技术</w:t>
      </w:r>
      <w:r>
        <w:rPr>
          <w:rFonts w:hint="eastAsia" w:ascii="仿宋_GB2312" w:hAnsi="仿宋_GB2312" w:eastAsia="仿宋_GB2312" w:cs="仿宋_GB2312"/>
          <w:sz w:val="28"/>
          <w:szCs w:val="28"/>
          <w:lang w:bidi="ar"/>
        </w:rPr>
        <w:t>得分=</w:t>
      </w:r>
      <w:r>
        <w:rPr>
          <w:rFonts w:hint="eastAsia" w:ascii="仿宋_GB2312" w:hAnsi="仿宋_GB2312" w:eastAsia="仿宋_GB2312" w:cs="仿宋_GB2312"/>
          <w:sz w:val="28"/>
          <w:szCs w:val="28"/>
          <w:lang w:val="en-US" w:eastAsia="zh-CN" w:bidi="ar"/>
        </w:rPr>
        <w:t>技术</w:t>
      </w:r>
      <w:r>
        <w:rPr>
          <w:rFonts w:hint="eastAsia" w:ascii="仿宋_GB2312" w:hAnsi="仿宋_GB2312" w:eastAsia="仿宋_GB2312" w:cs="仿宋_GB2312"/>
          <w:sz w:val="28"/>
          <w:szCs w:val="28"/>
          <w:lang w:bidi="ar"/>
        </w:rPr>
        <w:t>得分×</w:t>
      </w:r>
      <w:r>
        <w:rPr>
          <w:rFonts w:hint="eastAsia" w:ascii="仿宋_GB2312" w:hAnsi="仿宋_GB2312" w:eastAsia="仿宋_GB2312" w:cs="仿宋_GB2312"/>
          <w:sz w:val="28"/>
          <w:szCs w:val="28"/>
          <w:lang w:val="en-US" w:eastAsia="zh-CN" w:bidi="ar"/>
        </w:rPr>
        <w:t>3</w:t>
      </w:r>
      <w:r>
        <w:rPr>
          <w:rFonts w:hint="eastAsia" w:ascii="仿宋_GB2312" w:hAnsi="仿宋_GB2312" w:eastAsia="仿宋_GB2312" w:cs="仿宋_GB2312"/>
          <w:sz w:val="28"/>
          <w:szCs w:val="28"/>
          <w:lang w:bidi="ar"/>
        </w:rPr>
        <w:t>0%</w:t>
      </w:r>
    </w:p>
    <w:p w14:paraId="64A3291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没收投标人全额投标保证金，对此投标人完全知晓并同意；因此给招标人造成损失的，由投标人承担并赔偿招标人的一切损失。</w:t>
      </w:r>
    </w:p>
    <w:p w14:paraId="78FC1007">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45F5B843">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w:t>
      </w:r>
      <w:r>
        <w:rPr>
          <w:rFonts w:hint="eastAsia" w:ascii="仿宋_GB2312" w:hAnsi="仿宋_GB2312" w:eastAsia="仿宋_GB2312" w:cs="仿宋_GB2312"/>
          <w:color w:val="auto"/>
          <w:sz w:val="28"/>
          <w:szCs w:val="28"/>
          <w:highlight w:val="none"/>
          <w:lang w:eastAsia="zh-CN"/>
        </w:rPr>
        <w:t>。</w:t>
      </w:r>
    </w:p>
    <w:p w14:paraId="626034EA">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对此投标人完全知晓并同意；因此给招标人造成损失的，由投标人承担并赔偿招标人的一切损失。</w:t>
      </w:r>
    </w:p>
    <w:p w14:paraId="1189112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2、因业主单位原因导致本工程工程量增减、合同止或终止等，招标人接受并同意的，本工程中标人一并接受和同意，由此对中标人可能造成的损失由中标人自行承担。</w:t>
      </w:r>
    </w:p>
    <w:p w14:paraId="1F1E05C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中标人其他任一工程的工程款中进行扣除。</w:t>
      </w:r>
    </w:p>
    <w:p w14:paraId="5282F26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投标人禁止参与此次项目投标。</w:t>
      </w:r>
    </w:p>
    <w:p w14:paraId="7AB5E8B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11、中标人不服从招标人管理的，无法按照招标文件规定的各项工期节点</w:t>
      </w:r>
    </w:p>
    <w:p w14:paraId="7FD0895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履行的，招标人有权单方面解除合同并扣罚中标人全额履约保证金，中标人期间产生费用的由中标人自行承担，招标人期间支付的所有款项全额退回，投标人对此充分认识并完全接受。</w:t>
      </w:r>
    </w:p>
    <w:p w14:paraId="0D1311A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12、中标人中标后应在3天内缴纳足额履约保证金到招标人账户，否则视为中标人违约，招标人有权不与签订合同并另行委托中标人，投标人对此充分认识并完全接受</w:t>
      </w:r>
    </w:p>
    <w:p w14:paraId="074256C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附件1：《专业承包合同》</w:t>
      </w:r>
    </w:p>
    <w:p w14:paraId="642436A0">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附件2：参考预算（工程量按实计算及最终审计为准）</w:t>
      </w:r>
    </w:p>
    <w:p w14:paraId="015EBFB6">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2"/>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1C48763D">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1A68DB">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A7C93EF">
      <w:pPr>
        <w:rPr>
          <w:rFonts w:hint="eastAsia" w:ascii="仿宋" w:hAnsi="仿宋" w:eastAsia="仿宋" w:cs="仿宋"/>
          <w:sz w:val="28"/>
          <w:szCs w:val="28"/>
          <w:lang w:val="en-US" w:eastAsia="zh-CN"/>
        </w:rPr>
      </w:pPr>
    </w:p>
    <w:p w14:paraId="0CBC22C8">
      <w:pPr>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投标人：（盖单位章）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2"/>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w:t>
      </w:r>
      <w:r>
        <w:rPr>
          <w:rFonts w:hint="eastAsia" w:ascii="仿宋" w:hAnsi="仿宋" w:eastAsia="仿宋" w:cs="仿宋"/>
          <w:color w:val="000000"/>
          <w:sz w:val="28"/>
          <w:szCs w:val="28"/>
          <w:lang w:val="zh-CN"/>
        </w:rPr>
        <w:t>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在投标过程中，所签署的一切文件和处理与之有关的一切事务（</w:t>
      </w:r>
      <w:r>
        <w:rPr>
          <w:rFonts w:hint="eastAsia" w:ascii="仿宋" w:hAnsi="仿宋" w:eastAsia="仿宋" w:cs="仿宋"/>
          <w:color w:val="000000"/>
          <w:sz w:val="28"/>
          <w:szCs w:val="28"/>
          <w:lang w:val="en-US" w:eastAsia="zh-CN"/>
        </w:rPr>
        <w:t>包括但不限于投标、签约、联系、对账、结算等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_GB2312" w:hAnsi="仿宋_GB2312" w:eastAsia="仿宋_GB2312" w:cs="仿宋_GB2312"/>
          <w:sz w:val="28"/>
          <w:szCs w:val="28"/>
        </w:rPr>
        <w:t>投标人</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投标人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22516026">
      <w:pPr>
        <w:rPr>
          <w:rFonts w:hint="eastAsia" w:ascii="方正小标宋简体" w:hAnsi="方正小标宋简体" w:eastAsia="方正小标宋简体" w:cs="方正小标宋简体"/>
          <w:b w:val="0"/>
          <w:bCs/>
          <w:color w:val="auto"/>
          <w:spacing w:val="40"/>
          <w:sz w:val="28"/>
          <w:szCs w:val="28"/>
          <w:lang w:val="en-US" w:eastAsia="zh-CN"/>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sz w:val="28"/>
          <w:szCs w:val="28"/>
        </w:rPr>
        <w:t>投标人</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5DD199E">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footerReference r:id="rId3" w:type="default"/>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sz w:val="28"/>
          <w:szCs w:val="28"/>
        </w:rPr>
        <w:t>投标人</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EFF802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_GB2312" w:hAnsi="仿宋_GB2312" w:eastAsia="仿宋_GB2312" w:cs="仿宋_GB2312"/>
          <w:sz w:val="28"/>
          <w:szCs w:val="28"/>
        </w:rPr>
        <w:t>投标人</w:t>
      </w:r>
      <w:r>
        <w:rPr>
          <w:rFonts w:hint="eastAsia" w:ascii="仿宋" w:hAnsi="仿宋" w:eastAsia="仿宋" w:cs="仿宋"/>
          <w:sz w:val="28"/>
          <w:szCs w:val="28"/>
        </w:rPr>
        <w:t>（盖章）：</w:t>
      </w:r>
    </w:p>
    <w:p w14:paraId="6D85B0C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_GB2312" w:hAnsi="仿宋_GB2312" w:eastAsia="仿宋_GB2312" w:cs="仿宋_GB2312"/>
          <w:sz w:val="28"/>
          <w:szCs w:val="28"/>
        </w:rPr>
        <w:t>投标人</w:t>
      </w:r>
      <w:r>
        <w:rPr>
          <w:rFonts w:hint="eastAsia" w:ascii="仿宋" w:hAnsi="仿宋" w:eastAsia="仿宋" w:cs="仿宋"/>
          <w:sz w:val="28"/>
          <w:szCs w:val="28"/>
        </w:rPr>
        <w:t>（盖章）：</w:t>
      </w:r>
    </w:p>
    <w:p w14:paraId="4FFB680C">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0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2"/>
        <w:keepNext w:val="0"/>
        <w:keepLines w:val="0"/>
        <w:pageBreakBefore w:val="0"/>
        <w:kinsoku/>
        <w:wordWrap/>
        <w:overflowPunct/>
        <w:topLinePunct w:val="0"/>
        <w:bidi w:val="0"/>
        <w:snapToGrid/>
        <w:spacing w:after="0" w:afterLines="0" w:line="50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南浔生态宜居排水系统改造工程-生态酒店体育场设施提升项目--网球场地面及围网</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湖州市南浔区生态酒店旁（招标人指定地点）</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本工程为网球场地面及围网项目，具体施工内容参考工程量清单，最终以招标人及业主单位要求为准，直至本工程满足功能性要求及设计单位、业主单位要求并竣工验收合格为止。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14:paraId="740816B5">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围网部分2025年3月20日前完工，地面部分2025年4月15日前完工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2"/>
        <w:keepNext w:val="0"/>
        <w:keepLines w:val="0"/>
        <w:pageBreakBefore w:val="0"/>
        <w:numPr>
          <w:ilvl w:val="0"/>
          <w:numId w:val="0"/>
        </w:numPr>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0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投标人实际完成合格工程量（工程实际完成合格工程量扣除甲供材料对应款项、其他应扣款项后所得金额）下浮后的20%（含对上合同下浮费率及投标人中标下浮率），支付时须提供经公司核定的投标人实际完成合格总工程量50%的进项发票，否则公司有权不予付款；工程竣工验收并移交完成、结算审计资料提交至业主单位签收完成后支付至经公司核定的投标人实际完成合格总工程量（工程实际完成合格工程量扣除甲供材料对应款项、其他应扣款项后所得金额）下浮后的50%（含对上合同下浮费率及投标人中标下浮率），支付时须提供投标人实际完成合格总工程量70-75%的进项发票，否则公司有权不予付款；工程对上审计完成、并完成公司与投标人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0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0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入库时承诺的法人授权代理人（唯一代理人即内部施工负责人）</w:t>
      </w:r>
      <w:r>
        <w:rPr>
          <w:rFonts w:hint="eastAsia" w:ascii="仿宋_GB2312" w:hAnsi="仿宋_GB2312" w:eastAsia="仿宋_GB2312" w:cs="仿宋_GB2312"/>
          <w:color w:val="auto"/>
          <w:sz w:val="28"/>
          <w:szCs w:val="28"/>
          <w:lang w:val="zh-CN"/>
        </w:rPr>
        <w:t>，乙方所在</w:t>
      </w:r>
      <w:r>
        <w:rPr>
          <w:rFonts w:hint="eastAsia" w:ascii="仿宋_GB2312" w:hAnsi="仿宋_GB2312" w:eastAsia="仿宋_GB2312" w:cs="仿宋_GB2312"/>
          <w:color w:val="auto"/>
          <w:sz w:val="28"/>
          <w:szCs w:val="28"/>
          <w:lang w:val="en-US" w:eastAsia="zh-CN"/>
        </w:rPr>
        <w:t>单位雇佣</w:t>
      </w:r>
      <w:r>
        <w:rPr>
          <w:rFonts w:hint="eastAsia" w:ascii="仿宋_GB2312" w:hAnsi="仿宋_GB2312" w:eastAsia="仿宋_GB2312" w:cs="仿宋_GB2312"/>
          <w:color w:val="auto"/>
          <w:sz w:val="28"/>
          <w:szCs w:val="28"/>
          <w:lang w:val="zh-CN"/>
        </w:rPr>
        <w:t>的任何成员与甲方无关，甲方亦不对</w:t>
      </w:r>
      <w:r>
        <w:rPr>
          <w:rFonts w:hint="eastAsia" w:ascii="仿宋_GB2312" w:hAnsi="仿宋_GB2312" w:eastAsia="仿宋_GB2312" w:cs="仿宋_GB2312"/>
          <w:sz w:val="28"/>
          <w:szCs w:val="28"/>
        </w:rPr>
        <w:t>投标人</w:t>
      </w:r>
      <w:r>
        <w:rPr>
          <w:rFonts w:hint="eastAsia" w:ascii="仿宋_GB2312" w:hAnsi="仿宋_GB2312" w:eastAsia="仿宋_GB2312" w:cs="仿宋_GB2312"/>
          <w:color w:val="auto"/>
          <w:sz w:val="28"/>
          <w:szCs w:val="28"/>
          <w:lang w:val="zh-CN"/>
        </w:rPr>
        <w:t>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法人授权代理人（唯一代理人即内部施工负责人）不得更换。</w:t>
      </w:r>
    </w:p>
    <w:p w14:paraId="729395FC">
      <w:pPr>
        <w:keepNext w:val="0"/>
        <w:keepLines w:val="0"/>
        <w:pageBreakBefore w:val="0"/>
        <w:widowControl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0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0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sz w:val="28"/>
          <w:szCs w:val="28"/>
          <w:highlight w:val="none"/>
          <w:lang w:val="en-US" w:eastAsia="zh-CN"/>
        </w:rPr>
        <w:t>招标人与业主单位的合同下浮率在业主单位确认的结算审计价中体现。</w:t>
      </w:r>
    </w:p>
    <w:p w14:paraId="7469886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0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68DF8F4E">
      <w:pPr>
        <w:keepNext w:val="0"/>
        <w:keepLines w:val="0"/>
        <w:pageBreakBefore w:val="0"/>
        <w:widowControl/>
        <w:kinsoku/>
        <w:wordWrap/>
        <w:overflowPunct/>
        <w:topLinePunct w:val="0"/>
        <w:bidi w:val="0"/>
        <w:snapToGrid/>
        <w:spacing w:line="50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kern w:val="2"/>
          <w:sz w:val="28"/>
          <w:szCs w:val="28"/>
          <w:lang w:val="en-US" w:eastAsia="zh-CN" w:bidi="ar-SA"/>
        </w:rPr>
        <w:t>4.</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0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14:paraId="40B44BC1">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8"/>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zUxOTQzNjYwNGIzOTllZjNjOWNmZjUwYTE4MGYifQ=="/>
  </w:docVars>
  <w:rsids>
    <w:rsidRoot w:val="4D72579F"/>
    <w:rsid w:val="01784586"/>
    <w:rsid w:val="022B2003"/>
    <w:rsid w:val="024D517C"/>
    <w:rsid w:val="02BC3862"/>
    <w:rsid w:val="02BC5875"/>
    <w:rsid w:val="03004097"/>
    <w:rsid w:val="036F73CD"/>
    <w:rsid w:val="04754611"/>
    <w:rsid w:val="04BD1688"/>
    <w:rsid w:val="058409E8"/>
    <w:rsid w:val="05C27936"/>
    <w:rsid w:val="060D2627"/>
    <w:rsid w:val="0664493D"/>
    <w:rsid w:val="07034D03"/>
    <w:rsid w:val="07BE2798"/>
    <w:rsid w:val="0845738B"/>
    <w:rsid w:val="086C7D96"/>
    <w:rsid w:val="08A300C3"/>
    <w:rsid w:val="08EA137C"/>
    <w:rsid w:val="08FB4D60"/>
    <w:rsid w:val="093E4C85"/>
    <w:rsid w:val="096176C5"/>
    <w:rsid w:val="0A2B40C2"/>
    <w:rsid w:val="0A4F2B5C"/>
    <w:rsid w:val="0A7439FC"/>
    <w:rsid w:val="0AA30E05"/>
    <w:rsid w:val="0ABC39D8"/>
    <w:rsid w:val="0B0F4237"/>
    <w:rsid w:val="0BD0477F"/>
    <w:rsid w:val="0BFE5400"/>
    <w:rsid w:val="0C380864"/>
    <w:rsid w:val="0C833250"/>
    <w:rsid w:val="0D214F69"/>
    <w:rsid w:val="0D435CF0"/>
    <w:rsid w:val="0D5B23CC"/>
    <w:rsid w:val="0D8B3083"/>
    <w:rsid w:val="0DAB0CEC"/>
    <w:rsid w:val="0DC10698"/>
    <w:rsid w:val="0E213296"/>
    <w:rsid w:val="0EAC50D3"/>
    <w:rsid w:val="0FFB54E4"/>
    <w:rsid w:val="109275A9"/>
    <w:rsid w:val="10E637F4"/>
    <w:rsid w:val="128C4F28"/>
    <w:rsid w:val="130872F3"/>
    <w:rsid w:val="140B4E5D"/>
    <w:rsid w:val="1437301A"/>
    <w:rsid w:val="14D56A06"/>
    <w:rsid w:val="150838E9"/>
    <w:rsid w:val="160C4FAD"/>
    <w:rsid w:val="16D80B50"/>
    <w:rsid w:val="16D87738"/>
    <w:rsid w:val="172401FC"/>
    <w:rsid w:val="175E1271"/>
    <w:rsid w:val="177B16DD"/>
    <w:rsid w:val="17C44811"/>
    <w:rsid w:val="17F90A1F"/>
    <w:rsid w:val="18651DBE"/>
    <w:rsid w:val="188B1748"/>
    <w:rsid w:val="18B37031"/>
    <w:rsid w:val="18F02B2E"/>
    <w:rsid w:val="18FD3554"/>
    <w:rsid w:val="1AD3774D"/>
    <w:rsid w:val="1B290206"/>
    <w:rsid w:val="1BD41620"/>
    <w:rsid w:val="1C627A38"/>
    <w:rsid w:val="1D8A0AF6"/>
    <w:rsid w:val="1E906F1A"/>
    <w:rsid w:val="1EDA1C32"/>
    <w:rsid w:val="1F3D2816"/>
    <w:rsid w:val="1F4F5857"/>
    <w:rsid w:val="20966027"/>
    <w:rsid w:val="213C72D1"/>
    <w:rsid w:val="21A9704B"/>
    <w:rsid w:val="21E5246C"/>
    <w:rsid w:val="22E25DF4"/>
    <w:rsid w:val="23963804"/>
    <w:rsid w:val="240C6FC1"/>
    <w:rsid w:val="244A2F6C"/>
    <w:rsid w:val="24923529"/>
    <w:rsid w:val="24DC6BA4"/>
    <w:rsid w:val="25864698"/>
    <w:rsid w:val="25AC1A52"/>
    <w:rsid w:val="25AC3ECC"/>
    <w:rsid w:val="25CC4F38"/>
    <w:rsid w:val="268202E5"/>
    <w:rsid w:val="273F34FA"/>
    <w:rsid w:val="27817DA6"/>
    <w:rsid w:val="28DA242D"/>
    <w:rsid w:val="28E8438B"/>
    <w:rsid w:val="29385A89"/>
    <w:rsid w:val="29931E14"/>
    <w:rsid w:val="2A1D189D"/>
    <w:rsid w:val="2A5C1303"/>
    <w:rsid w:val="2A71683D"/>
    <w:rsid w:val="2A76033E"/>
    <w:rsid w:val="2AB53FDF"/>
    <w:rsid w:val="2BF235E5"/>
    <w:rsid w:val="2BFB6029"/>
    <w:rsid w:val="2C89060B"/>
    <w:rsid w:val="2C936391"/>
    <w:rsid w:val="2CA46F92"/>
    <w:rsid w:val="2CF714DC"/>
    <w:rsid w:val="2D2E3708"/>
    <w:rsid w:val="2D4C1D3E"/>
    <w:rsid w:val="2DDD275B"/>
    <w:rsid w:val="2EA60DD6"/>
    <w:rsid w:val="2EE70255"/>
    <w:rsid w:val="2EED2E72"/>
    <w:rsid w:val="2F257F75"/>
    <w:rsid w:val="2F7B4131"/>
    <w:rsid w:val="2FD47A9D"/>
    <w:rsid w:val="30981779"/>
    <w:rsid w:val="328416F9"/>
    <w:rsid w:val="33BE1F6B"/>
    <w:rsid w:val="34390751"/>
    <w:rsid w:val="343D1E3E"/>
    <w:rsid w:val="34B25A95"/>
    <w:rsid w:val="34C66947"/>
    <w:rsid w:val="35C32B3D"/>
    <w:rsid w:val="37250DEE"/>
    <w:rsid w:val="37855A0B"/>
    <w:rsid w:val="38006E2C"/>
    <w:rsid w:val="38871C41"/>
    <w:rsid w:val="38993E43"/>
    <w:rsid w:val="38995E18"/>
    <w:rsid w:val="38AC282C"/>
    <w:rsid w:val="39472380"/>
    <w:rsid w:val="396D25ED"/>
    <w:rsid w:val="39C872B8"/>
    <w:rsid w:val="3A0B4AF4"/>
    <w:rsid w:val="3A8373E6"/>
    <w:rsid w:val="3AB40CE8"/>
    <w:rsid w:val="3B346B06"/>
    <w:rsid w:val="3B790C66"/>
    <w:rsid w:val="3CCF61D5"/>
    <w:rsid w:val="3EE94E91"/>
    <w:rsid w:val="401933BF"/>
    <w:rsid w:val="401B49F1"/>
    <w:rsid w:val="407C2246"/>
    <w:rsid w:val="40CC5ECD"/>
    <w:rsid w:val="41B8341B"/>
    <w:rsid w:val="41CA6631"/>
    <w:rsid w:val="42913872"/>
    <w:rsid w:val="42C67AC2"/>
    <w:rsid w:val="42E64203"/>
    <w:rsid w:val="43DB70C2"/>
    <w:rsid w:val="44743BF0"/>
    <w:rsid w:val="448A4217"/>
    <w:rsid w:val="453C0B5F"/>
    <w:rsid w:val="4544519C"/>
    <w:rsid w:val="45466415"/>
    <w:rsid w:val="46606607"/>
    <w:rsid w:val="478443ED"/>
    <w:rsid w:val="48475477"/>
    <w:rsid w:val="48AD296E"/>
    <w:rsid w:val="4933371F"/>
    <w:rsid w:val="497013F6"/>
    <w:rsid w:val="49741140"/>
    <w:rsid w:val="49E11794"/>
    <w:rsid w:val="49F45690"/>
    <w:rsid w:val="4A7D1CB1"/>
    <w:rsid w:val="4ACB29B1"/>
    <w:rsid w:val="4AF72C27"/>
    <w:rsid w:val="4B9D67A4"/>
    <w:rsid w:val="4C8C20EA"/>
    <w:rsid w:val="4C95730F"/>
    <w:rsid w:val="4CA046F7"/>
    <w:rsid w:val="4D566987"/>
    <w:rsid w:val="4D72579F"/>
    <w:rsid w:val="4EC17644"/>
    <w:rsid w:val="4ECE1184"/>
    <w:rsid w:val="4ED11A10"/>
    <w:rsid w:val="4F2C520F"/>
    <w:rsid w:val="4F3B50DC"/>
    <w:rsid w:val="4F9801E7"/>
    <w:rsid w:val="501723E6"/>
    <w:rsid w:val="50812FC2"/>
    <w:rsid w:val="50DC22A0"/>
    <w:rsid w:val="526B23B2"/>
    <w:rsid w:val="52B64033"/>
    <w:rsid w:val="541A5D36"/>
    <w:rsid w:val="544431D4"/>
    <w:rsid w:val="55B87767"/>
    <w:rsid w:val="571D1541"/>
    <w:rsid w:val="57230952"/>
    <w:rsid w:val="57376AD1"/>
    <w:rsid w:val="57522A51"/>
    <w:rsid w:val="580C6F3F"/>
    <w:rsid w:val="59875B51"/>
    <w:rsid w:val="59DF66FA"/>
    <w:rsid w:val="5A653BEA"/>
    <w:rsid w:val="5B73507F"/>
    <w:rsid w:val="5C1678E0"/>
    <w:rsid w:val="5ED66666"/>
    <w:rsid w:val="5F7E0DDA"/>
    <w:rsid w:val="605F5E17"/>
    <w:rsid w:val="609360DE"/>
    <w:rsid w:val="60A87BAD"/>
    <w:rsid w:val="61083DAF"/>
    <w:rsid w:val="617A50C8"/>
    <w:rsid w:val="61990971"/>
    <w:rsid w:val="62086F99"/>
    <w:rsid w:val="63665421"/>
    <w:rsid w:val="63E11AC6"/>
    <w:rsid w:val="63E94CAF"/>
    <w:rsid w:val="650E0CA2"/>
    <w:rsid w:val="65D1623D"/>
    <w:rsid w:val="66221F5E"/>
    <w:rsid w:val="669E0497"/>
    <w:rsid w:val="66D907B5"/>
    <w:rsid w:val="67121B6C"/>
    <w:rsid w:val="67B31BB7"/>
    <w:rsid w:val="680E6F72"/>
    <w:rsid w:val="689950F9"/>
    <w:rsid w:val="68A53206"/>
    <w:rsid w:val="69244882"/>
    <w:rsid w:val="69987A59"/>
    <w:rsid w:val="69DD59B8"/>
    <w:rsid w:val="6AB563C0"/>
    <w:rsid w:val="6ACB5B2B"/>
    <w:rsid w:val="6AD63EF6"/>
    <w:rsid w:val="6B8159D3"/>
    <w:rsid w:val="6C2E3BA6"/>
    <w:rsid w:val="6E244BCE"/>
    <w:rsid w:val="6E6E390B"/>
    <w:rsid w:val="6F370F32"/>
    <w:rsid w:val="6FDD7C1E"/>
    <w:rsid w:val="71151DE4"/>
    <w:rsid w:val="71774396"/>
    <w:rsid w:val="71890927"/>
    <w:rsid w:val="71AC4A9F"/>
    <w:rsid w:val="72044E22"/>
    <w:rsid w:val="72841C5F"/>
    <w:rsid w:val="72B70565"/>
    <w:rsid w:val="73D20082"/>
    <w:rsid w:val="74B67236"/>
    <w:rsid w:val="750232A8"/>
    <w:rsid w:val="75F16FE0"/>
    <w:rsid w:val="75F82D28"/>
    <w:rsid w:val="76B348A4"/>
    <w:rsid w:val="772D702B"/>
    <w:rsid w:val="77CC339C"/>
    <w:rsid w:val="7A1B7966"/>
    <w:rsid w:val="7B65103C"/>
    <w:rsid w:val="7BE57BFA"/>
    <w:rsid w:val="7BEC141D"/>
    <w:rsid w:val="7BF33070"/>
    <w:rsid w:val="7BF548BF"/>
    <w:rsid w:val="7CB1418D"/>
    <w:rsid w:val="7E623396"/>
    <w:rsid w:val="7E9C6D4C"/>
    <w:rsid w:val="7ECD35DF"/>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annotation text"/>
    <w:basedOn w:val="1"/>
    <w:qFormat/>
    <w:uiPriority w:val="0"/>
    <w:pPr>
      <w:jc w:val="left"/>
    </w:pPr>
  </w:style>
  <w:style w:type="paragraph" w:styleId="6">
    <w:name w:val="Body Text"/>
    <w:basedOn w:val="1"/>
    <w:autoRedefine/>
    <w:unhideWhenUsed/>
    <w:qFormat/>
    <w:uiPriority w:val="99"/>
    <w:pPr>
      <w:spacing w:after="120" w:afterLines="0" w:afterAutospacing="0"/>
    </w:pPr>
  </w:style>
  <w:style w:type="paragraph" w:styleId="7">
    <w:name w:val="Body Text Indent"/>
    <w:basedOn w:val="1"/>
    <w:autoRedefine/>
    <w:qFormat/>
    <w:uiPriority w:val="0"/>
    <w:pPr>
      <w:spacing w:after="120"/>
      <w:ind w:left="420" w:leftChars="200"/>
    </w:pPr>
    <w:rPr>
      <w:kern w:val="0"/>
      <w:sz w:val="20"/>
      <w:szCs w:val="24"/>
    </w:rPr>
  </w:style>
  <w:style w:type="paragraph" w:styleId="8">
    <w:name w:val="footer"/>
    <w:basedOn w:val="1"/>
    <w:autoRedefine/>
    <w:unhideWhenUsed/>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autoRedefine/>
    <w:qFormat/>
    <w:uiPriority w:val="99"/>
    <w:pPr>
      <w:ind w:left="2100" w:leftChars="1000"/>
    </w:pPr>
    <w:rPr>
      <w:rFonts w:ascii="Calibri" w:hAnsi="Calibri"/>
      <w:szCs w:val="2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6"/>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3">
    <w:name w:val="Body Text First Indent 2"/>
    <w:basedOn w:val="7"/>
    <w:autoRedefine/>
    <w:qFormat/>
    <w:uiPriority w:val="0"/>
    <w:pPr>
      <w:tabs>
        <w:tab w:val="left" w:pos="0"/>
        <w:tab w:val="left" w:pos="993"/>
        <w:tab w:val="left" w:pos="1134"/>
        <w:tab w:val="left" w:pos="7060"/>
      </w:tabs>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8">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23458</Words>
  <Characters>23909</Characters>
  <Lines>0</Lines>
  <Paragraphs>0</Paragraphs>
  <TotalTime>2</TotalTime>
  <ScaleCrop>false</ScaleCrop>
  <LinksUpToDate>false</LinksUpToDate>
  <CharactersWithSpaces>24769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投标人实际完成合格工程量（工程实际完成合格工程量扣除甲供材料对应款项、其他应扣款项后所得金额）下浮后的20%（含对上合同下浮费率及投标人中标下浮率），支付时须提供经公司核定的投标人实际完成合格总工程量50%的进项发票，否则公司有权不予付款；工程竣工验收并移交完成、结算审计资料提交至业主单位签收完成后支付至经公司核定的投标人实际完成合格总工程量（工程实际完成合格工程量扣除甲供材料对应款项、其他应扣款项后所得金额）下浮后的50%（含对上合同下浮费率及投标人中标下浮率），支付时须提供投标人实际完成合格总工程量70-75%的进项发票，否则公司有权不予付款；工程对上审计完成、并完成公司与投标人的最终结算后支付至最终结算总金额的95%，支付时须提供工程结算金额100%的进项发票，否则公司有权不予付款；尾款待保修期满后付清（无息）。</dc:creator>
  <dc:description>湖州市南浔区生态酒店旁（招标人指定地点）</dc:description>
  <cp:keywords>南浔生态宜居排水系统改造工程-生态酒店体育场设施提升项目--网球场地面及围网</cp:keywords>
  <cp:lastModifiedBy>SJ</cp:lastModifiedBy>
  <cp:lastPrinted>2024-12-30T05:58:00Z</cp:lastPrinted>
  <dcterms:modified xsi:type="dcterms:W3CDTF">2024-12-31T01:11:53Z</dcterms:modified>
  <dc:subject>本工程为网球场地面及围网项目，具体施工内容参考工程量清单，最终以招标人及业主单位要求为准，直至本工程满足功能性要求及设计单位、业主单位要求并竣工验收合格为止。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6B2914C4DE8C425DA166B7B88EC803C7_13</vt:lpwstr>
  </property>
  <property fmtid="{D5CDD505-2E9C-101B-9397-08002B2CF9AE}" pid="4" name="KSOTemplateDocerSaveRecord">
    <vt:lpwstr>eyJoZGlkIjoiODUyOWRlYmU4OTM3OTc4ZTllZWRjMGM5OGJjMzc2ODEiLCJ1c2VySWQiOiIxMTU4ODg5MzMzIn0=</vt:lpwstr>
  </property>
</Properties>
</file>