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hint="default" w:ascii="宋体" w:hAnsi="宋体" w:eastAsia="宋体"/>
          <w:sz w:val="36"/>
          <w:szCs w:val="36"/>
          <w:lang w:val="en-US" w:eastAsia="zh-CN"/>
        </w:rPr>
      </w:pPr>
      <w:r>
        <w:rPr>
          <w:rFonts w:hint="eastAsia" w:asciiTheme="majorEastAsia" w:hAnsiTheme="majorEastAsia" w:eastAsiaTheme="majorEastAsia" w:cstheme="majorEastAsia"/>
          <w:b/>
          <w:color w:val="000000"/>
          <w:sz w:val="48"/>
          <w:szCs w:val="48"/>
          <w:lang w:val="en-US" w:eastAsia="zh-CN"/>
        </w:rPr>
        <w:t>区统一战线综合体（民主党派活动中心）工程</w:t>
      </w:r>
    </w:p>
    <w:p>
      <w:pPr>
        <w:jc w:val="center"/>
        <w:rPr>
          <w:rFonts w:ascii="宋体" w:hAnsi="宋体"/>
          <w:sz w:val="72"/>
          <w:szCs w:val="72"/>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6</w:t>
      </w:r>
      <w:r>
        <w:rPr>
          <w:rFonts w:hint="eastAsia" w:ascii="宋体" w:hAnsi="宋体"/>
          <w:b/>
          <w:sz w:val="30"/>
          <w:szCs w:val="30"/>
        </w:rPr>
        <w:t xml:space="preserve">月 </w:t>
      </w:r>
    </w:p>
    <w:p>
      <w:pPr>
        <w:rPr>
          <w:rFonts w:ascii="宋体" w:hAnsi="宋体"/>
          <w:b/>
          <w:sz w:val="30"/>
          <w:szCs w:val="30"/>
        </w:rPr>
      </w:pPr>
    </w:p>
    <w:p>
      <w:pPr>
        <w:pStyle w:val="2"/>
      </w:pPr>
    </w:p>
    <w:p>
      <w:pPr>
        <w:jc w:val="center"/>
        <w:rPr>
          <w:rFonts w:ascii="宋体" w:hAnsi="宋体" w:cs="黑体"/>
          <w:b/>
          <w:kern w:val="0"/>
          <w:szCs w:val="21"/>
        </w:rPr>
      </w:pPr>
    </w:p>
    <w:p>
      <w:pPr>
        <w:pStyle w:val="2"/>
      </w:pPr>
    </w:p>
    <w:p>
      <w:pPr>
        <w:autoSpaceDE w:val="0"/>
        <w:autoSpaceDN w:val="0"/>
        <w:adjustRightInd w:val="0"/>
        <w:spacing w:line="240" w:lineRule="auto"/>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宋体"/>
          <w:kern w:val="0"/>
          <w:szCs w:val="21"/>
        </w:rPr>
      </w:pPr>
      <w:r>
        <w:rPr>
          <w:rFonts w:ascii="宋体" w:hAnsi="宋体" w:cs="TimesNewRomanPSMT"/>
          <w:b/>
          <w:kern w:val="0"/>
          <w:szCs w:val="21"/>
        </w:rPr>
        <w:t xml:space="preserve">1. </w:t>
      </w:r>
      <w:r>
        <w:rPr>
          <w:rFonts w:hint="eastAsia" w:ascii="宋体" w:hAnsi="宋体" w:cs="黑体"/>
          <w:b/>
          <w:kern w:val="0"/>
          <w:szCs w:val="21"/>
        </w:rPr>
        <w:t>招标条件</w:t>
      </w:r>
      <w:r>
        <w:rPr>
          <w:rFonts w:hint="eastAsia" w:ascii="宋体" w:hAnsi="宋体" w:cs="宋体"/>
          <w:color w:val="FF0000"/>
          <w:kern w:val="0"/>
          <w:szCs w:val="21"/>
          <w:u w:val="single"/>
          <w:lang w:val="en-US" w:eastAsia="zh-CN"/>
        </w:rPr>
        <w:t>区统一战线综合体（民主党派活动中心）工程</w:t>
      </w:r>
      <w:r>
        <w:rPr>
          <w:rFonts w:hint="eastAsia" w:ascii="宋体" w:hAnsi="宋体" w:cs="宋体"/>
          <w:color w:val="FF0000"/>
          <w:kern w:val="0"/>
          <w:szCs w:val="21"/>
          <w:u w:val="single"/>
        </w:rPr>
        <w:t xml:space="preserve"> </w:t>
      </w:r>
      <w:r>
        <w:rPr>
          <w:rFonts w:hint="eastAsia" w:ascii="宋体" w:hAnsi="宋体" w:cs="宋体"/>
          <w:kern w:val="0"/>
          <w:szCs w:val="21"/>
        </w:rPr>
        <w:t xml:space="preserve">由 </w:t>
      </w:r>
      <w:r>
        <w:rPr>
          <w:rFonts w:hint="eastAsia" w:ascii="宋体" w:hAnsi="宋体" w:cs="宋体"/>
          <w:color w:val="FF0000"/>
          <w:kern w:val="0"/>
          <w:szCs w:val="21"/>
          <w:u w:val="single"/>
        </w:rPr>
        <w:t xml:space="preserve">湖州南浔城投城市建设集团有限公司 </w:t>
      </w:r>
      <w:r>
        <w:rPr>
          <w:rFonts w:hint="eastAsia" w:ascii="宋体" w:hAnsi="宋体" w:cs="宋体"/>
          <w:kern w:val="0"/>
          <w:szCs w:val="21"/>
        </w:rPr>
        <w:t>工程总承包，招标人为</w:t>
      </w:r>
      <w:r>
        <w:rPr>
          <w:rFonts w:hint="eastAsia" w:ascii="宋体" w:hAnsi="宋体" w:cs="宋体"/>
          <w:color w:val="FF0000"/>
          <w:kern w:val="0"/>
          <w:szCs w:val="21"/>
          <w:u w:val="single"/>
        </w:rPr>
        <w:t>湖州南浔城投城市建设集团有限公司</w:t>
      </w:r>
      <w:r>
        <w:rPr>
          <w:rFonts w:hint="eastAsia" w:ascii="宋体" w:hAnsi="宋体" w:cs="宋体"/>
          <w:kern w:val="0"/>
          <w:szCs w:val="21"/>
        </w:rPr>
        <w:t>。项目已具备招标条件，现对该项目</w:t>
      </w:r>
      <w:r>
        <w:rPr>
          <w:rFonts w:hint="eastAsia" w:ascii="宋体" w:hAnsi="宋体" w:cs="宋体"/>
          <w:color w:val="000000"/>
          <w:szCs w:val="21"/>
          <w:u w:val="none"/>
        </w:rPr>
        <w:t>采</w:t>
      </w:r>
      <w:r>
        <w:rPr>
          <w:rFonts w:hint="eastAsia" w:ascii="宋体" w:hAnsi="宋体" w:cs="宋体"/>
          <w:color w:val="000000"/>
          <w:szCs w:val="21"/>
        </w:rPr>
        <w:t>用</w:t>
      </w:r>
      <w:r>
        <w:rPr>
          <w:rFonts w:hint="eastAsia" w:ascii="宋体" w:hAnsi="宋体" w:cs="宋体"/>
          <w:bCs/>
          <w:color w:val="000000"/>
          <w:szCs w:val="21"/>
          <w:u w:val="single"/>
        </w:rPr>
        <w:t xml:space="preserve"> 公开招标 </w:t>
      </w:r>
      <w:r>
        <w:rPr>
          <w:rFonts w:hint="eastAsia" w:ascii="宋体" w:hAnsi="宋体" w:cs="宋体"/>
          <w:color w:val="000000"/>
          <w:szCs w:val="21"/>
        </w:rPr>
        <w:t>的招标方式确定投标人</w:t>
      </w:r>
      <w:r>
        <w:rPr>
          <w:rFonts w:hint="eastAsia" w:ascii="宋体" w:hAnsi="宋体" w:cs="宋体"/>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项目概况与招标范围</w:t>
      </w:r>
    </w:p>
    <w:p>
      <w:pPr>
        <w:keepNext w:val="0"/>
        <w:keepLines w:val="0"/>
        <w:pageBreakBefore w:val="0"/>
        <w:widowControl w:val="0"/>
        <w:kinsoku/>
        <w:wordWrap/>
        <w:overflowPunct/>
        <w:topLinePunct w:val="0"/>
        <w:bidi w:val="0"/>
        <w:spacing w:line="400" w:lineRule="exact"/>
        <w:ind w:left="0" w:leftChars="0" w:firstLine="0" w:firstLineChars="0"/>
        <w:textAlignment w:val="auto"/>
        <w:rPr>
          <w:rFonts w:eastAsiaTheme="majorEastAsia"/>
          <w:color w:val="000000" w:themeColor="text1"/>
          <w:sz w:val="28"/>
          <w:szCs w:val="28"/>
        </w:rPr>
      </w:pPr>
      <w:r>
        <w:rPr>
          <w:rFonts w:hint="eastAsia" w:ascii="宋体" w:hAnsi="宋体" w:cs="TimesNewRomanPSMT"/>
          <w:b/>
          <w:bCs/>
          <w:kern w:val="0"/>
          <w:szCs w:val="21"/>
        </w:rPr>
        <w:t>2.1 工程概况：</w:t>
      </w:r>
      <w:r>
        <w:rPr>
          <w:rFonts w:hint="eastAsia" w:ascii="宋体" w:hAnsi="宋体" w:cs="宋体"/>
          <w:color w:val="FF0000"/>
          <w:kern w:val="0"/>
          <w:szCs w:val="21"/>
          <w:u w:val="single"/>
          <w:lang w:val="en-US" w:eastAsia="zh-CN"/>
        </w:rPr>
        <w:t>区统一战线综合体（民主党派活动中心）工程</w:t>
      </w:r>
      <w:r>
        <w:rPr>
          <w:rFonts w:hint="eastAsia" w:ascii="宋体" w:hAnsi="宋体" w:cs="宋体"/>
          <w:b/>
          <w:color w:val="FF0000"/>
          <w:szCs w:val="21"/>
        </w:rPr>
        <w:t>，建筑面积约</w:t>
      </w:r>
      <w:r>
        <w:rPr>
          <w:rFonts w:hint="eastAsia" w:ascii="宋体" w:hAnsi="宋体" w:cs="宋体"/>
          <w:b/>
          <w:color w:val="FF0000"/>
          <w:szCs w:val="21"/>
          <w:lang w:val="en-US" w:eastAsia="zh-CN"/>
        </w:rPr>
        <w:t>900</w:t>
      </w:r>
      <w:r>
        <w:rPr>
          <w:rFonts w:hint="eastAsia" w:ascii="宋体" w:hAnsi="宋体" w:cs="宋体"/>
          <w:b/>
          <w:color w:val="FF0000"/>
          <w:szCs w:val="21"/>
        </w:rPr>
        <w:t>㎡（以实际施工建筑面积为准</w:t>
      </w:r>
      <w:r>
        <w:rPr>
          <w:rFonts w:hint="eastAsia" w:ascii="宋体" w:hAnsi="宋体" w:cs="宋体"/>
          <w:b/>
          <w:color w:val="FF0000"/>
          <w:szCs w:val="21"/>
          <w:lang w:eastAsia="zh-CN"/>
        </w:rPr>
        <w:t>，</w:t>
      </w:r>
      <w:r>
        <w:rPr>
          <w:rFonts w:hint="eastAsia" w:ascii="宋体" w:hAnsi="宋体" w:cs="宋体"/>
          <w:b/>
          <w:color w:val="FF0000"/>
          <w:szCs w:val="21"/>
          <w:lang w:val="en-US" w:eastAsia="zh-CN"/>
        </w:rPr>
        <w:t>卫生间与走道已经装修完毕</w:t>
      </w:r>
      <w:r>
        <w:rPr>
          <w:rFonts w:hint="eastAsia" w:ascii="宋体" w:hAnsi="宋体" w:cs="宋体"/>
          <w:b/>
          <w:color w:val="FF0000"/>
          <w:szCs w:val="21"/>
        </w:rPr>
        <w:t>）</w:t>
      </w:r>
      <w:r>
        <w:rPr>
          <w:rFonts w:hint="eastAsia" w:ascii="宋体" w:hAnsi="宋体" w:cs="宋体"/>
          <w:b/>
          <w:color w:val="FF0000"/>
          <w:szCs w:val="21"/>
          <w:lang w:eastAsia="zh-CN"/>
        </w:rPr>
        <w:t>，</w:t>
      </w:r>
      <w:r>
        <w:rPr>
          <w:rFonts w:hint="eastAsia" w:ascii="宋体" w:hAnsi="宋体" w:cs="宋体"/>
          <w:b/>
          <w:color w:val="FF0000"/>
          <w:szCs w:val="21"/>
          <w:lang w:val="en-US" w:eastAsia="zh-CN"/>
        </w:rPr>
        <w:t>本项目现场已安装空调设备，现场布局按已有空调位置设计，设计满足消防验收，后期需进行消防验收</w:t>
      </w:r>
      <w:r>
        <w:rPr>
          <w:rFonts w:hint="eastAsia" w:asciiTheme="majorEastAsia" w:hAnsiTheme="majorEastAsia" w:eastAsiaTheme="majorEastAsia" w:cstheme="majorEastAsia"/>
          <w:color w:val="000000" w:themeColor="text1"/>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Cs w:val="21"/>
        </w:rPr>
      </w:pPr>
      <w:r>
        <w:rPr>
          <w:rFonts w:hint="eastAsia" w:ascii="宋体" w:hAnsi="宋体" w:cs="TimesNewRomanPSMT"/>
          <w:b/>
          <w:bCs/>
          <w:kern w:val="0"/>
          <w:szCs w:val="21"/>
          <w:lang w:val="en-US" w:eastAsia="zh-CN"/>
        </w:rPr>
        <w:t xml:space="preserve">2.2 </w:t>
      </w:r>
      <w:r>
        <w:rPr>
          <w:rFonts w:hint="eastAsia" w:ascii="宋体" w:hAnsi="宋体" w:cs="TimesNewRomanPSMT"/>
          <w:b/>
          <w:bCs/>
          <w:kern w:val="0"/>
          <w:szCs w:val="21"/>
        </w:rPr>
        <w:t>本招标范围：</w:t>
      </w:r>
      <w:r>
        <w:rPr>
          <w:rFonts w:hint="eastAsia" w:ascii="宋体" w:hAnsi="宋体" w:cs="TimesNewRomanPSMT"/>
          <w:kern w:val="0"/>
          <w:szCs w:val="21"/>
        </w:rPr>
        <w:t>本次招标范围为</w:t>
      </w:r>
      <w:r>
        <w:rPr>
          <w:rFonts w:hint="eastAsia" w:ascii="宋体" w:hAnsi="宋体" w:cs="TimesNewRomanPSMT"/>
          <w:kern w:val="0"/>
          <w:szCs w:val="21"/>
          <w:lang w:val="en-US" w:eastAsia="zh-CN"/>
        </w:rPr>
        <w:t>该</w:t>
      </w:r>
      <w:r>
        <w:rPr>
          <w:rFonts w:hint="eastAsia" w:ascii="宋体" w:hAnsi="宋体" w:cs="TimesNewRomanPSMT"/>
          <w:color w:val="FF0000"/>
          <w:kern w:val="0"/>
          <w:szCs w:val="21"/>
        </w:rPr>
        <w:t>项目中的</w:t>
      </w:r>
      <w:r>
        <w:rPr>
          <w:rFonts w:hint="eastAsia" w:ascii="宋体" w:hAnsi="宋体" w:cs="TimesNewRomanPSMT"/>
          <w:color w:val="FF0000"/>
          <w:kern w:val="0"/>
          <w:szCs w:val="21"/>
          <w:lang w:val="en-US" w:eastAsia="zh-CN"/>
        </w:rPr>
        <w:t>17间办公室、1间大会议室、1间小会议室、1间接待室的装修设计及施工</w:t>
      </w:r>
      <w:r>
        <w:rPr>
          <w:rFonts w:hint="eastAsia" w:ascii="宋体" w:hAnsi="宋体" w:cs="TimesNewRomanPSMT"/>
          <w:color w:val="FF0000"/>
          <w:kern w:val="0"/>
          <w:szCs w:val="21"/>
          <w:lang w:eastAsia="zh-CN"/>
        </w:rPr>
        <w:t>，</w:t>
      </w:r>
      <w:r>
        <w:rPr>
          <w:rFonts w:hint="eastAsia" w:ascii="宋体" w:hAnsi="宋体" w:cs="TimesNewRomanPSMT"/>
          <w:color w:val="FF0000"/>
          <w:kern w:val="0"/>
          <w:szCs w:val="21"/>
          <w:lang w:val="en-US" w:eastAsia="zh-CN"/>
        </w:rPr>
        <w:t>其中装修内容主要含隔断、天棚、墙地面、智能化设备、家具、拆除、垃圾清运、保洁等，材料、设备设施、家具等的具体品牌及样式由业主指定</w:t>
      </w:r>
      <w:r>
        <w:rPr>
          <w:rFonts w:hint="eastAsia" w:ascii="宋体" w:hAnsi="宋体" w:cs="TimesNewRomanPSMT"/>
          <w:kern w:val="0"/>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宋体"/>
          <w:kern w:val="0"/>
          <w:szCs w:val="21"/>
        </w:rPr>
      </w:pPr>
      <w:r>
        <w:rPr>
          <w:rFonts w:hint="eastAsia" w:ascii="宋体" w:hAnsi="宋体" w:cs="TimesNewRomanPSMT"/>
          <w:kern w:val="0"/>
          <w:szCs w:val="21"/>
        </w:rPr>
        <w:t>2.3  分包工程名称为：</w:t>
      </w:r>
      <w:r>
        <w:rPr>
          <w:rFonts w:hint="eastAsia" w:ascii="宋体" w:hAnsi="宋体" w:cs="宋体"/>
          <w:color w:val="FF0000"/>
          <w:kern w:val="0"/>
          <w:szCs w:val="21"/>
          <w:u w:val="none"/>
          <w:lang w:val="en-US" w:eastAsia="zh-CN"/>
        </w:rPr>
        <w:t>区统一战线综合体（民主党派活动中心）工程</w:t>
      </w:r>
      <w:r>
        <w:rPr>
          <w:rFonts w:hint="eastAsia" w:ascii="宋体" w:hAnsi="宋体" w:cs="宋体"/>
          <w:kern w:val="0"/>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Cs w:val="21"/>
        </w:rPr>
      </w:pPr>
      <w:r>
        <w:rPr>
          <w:rFonts w:hint="eastAsia" w:ascii="宋体" w:hAnsi="宋体" w:cs="TimesNewRomanPSMT"/>
          <w:kern w:val="0"/>
          <w:szCs w:val="21"/>
        </w:rPr>
        <w:t>2.4.1 主要施工内容及要求为:</w:t>
      </w:r>
      <w:bookmarkStart w:id="1" w:name="OLE_LINK1"/>
      <w:bookmarkStart w:id="2" w:name="OLE_LINK2"/>
      <w:bookmarkStart w:id="3" w:name="OLE_LINK3"/>
      <w:r>
        <w:rPr>
          <w:rFonts w:hint="eastAsia" w:ascii="宋体" w:hAnsi="宋体" w:cs="宋体"/>
          <w:color w:val="FF0000"/>
          <w:kern w:val="0"/>
          <w:szCs w:val="21"/>
          <w:u w:val="none"/>
          <w:lang w:val="en-US" w:eastAsia="zh-CN"/>
        </w:rPr>
        <w:t>区统一战线综合体（民主党派活动中心）工程</w:t>
      </w:r>
      <w:r>
        <w:rPr>
          <w:rFonts w:hint="eastAsia" w:ascii="宋体" w:hAnsi="宋体" w:cs="TimesNewRomanPSMT"/>
          <w:kern w:val="0"/>
          <w:szCs w:val="21"/>
        </w:rPr>
        <w:t>，</w:t>
      </w:r>
      <w:bookmarkEnd w:id="1"/>
      <w:bookmarkEnd w:id="2"/>
      <w:bookmarkEnd w:id="3"/>
      <w:r>
        <w:rPr>
          <w:rFonts w:hint="eastAsia" w:ascii="宋体" w:hAnsi="宋体" w:cs="TimesNewRomanPSMT"/>
          <w:color w:val="FF0000"/>
          <w:kern w:val="0"/>
          <w:szCs w:val="21"/>
          <w:lang w:val="en-US" w:eastAsia="zh-CN"/>
        </w:rPr>
        <w:t>该</w:t>
      </w:r>
      <w:r>
        <w:rPr>
          <w:rFonts w:hint="eastAsia" w:ascii="宋体" w:hAnsi="宋体" w:cs="TimesNewRomanPSMT"/>
          <w:color w:val="FF0000"/>
          <w:kern w:val="0"/>
          <w:szCs w:val="21"/>
        </w:rPr>
        <w:t>项目中的</w:t>
      </w:r>
      <w:r>
        <w:rPr>
          <w:rFonts w:hint="eastAsia" w:ascii="宋体" w:hAnsi="宋体" w:cs="TimesNewRomanPSMT"/>
          <w:color w:val="FF0000"/>
          <w:kern w:val="0"/>
          <w:szCs w:val="21"/>
          <w:lang w:val="en-US" w:eastAsia="zh-CN"/>
        </w:rPr>
        <w:t>17间办公室、1间大会议室、1间小会议室、1间接待室的装修设计及施工</w:t>
      </w:r>
      <w:r>
        <w:rPr>
          <w:rFonts w:hint="eastAsia" w:ascii="宋体" w:hAnsi="宋体" w:cs="TimesNewRomanPSMT"/>
          <w:color w:val="FF0000"/>
          <w:kern w:val="0"/>
          <w:szCs w:val="21"/>
          <w:lang w:eastAsia="zh-CN"/>
        </w:rPr>
        <w:t>，</w:t>
      </w:r>
      <w:r>
        <w:rPr>
          <w:rFonts w:hint="eastAsia" w:ascii="宋体" w:hAnsi="宋体" w:cs="TimesNewRomanPSMT"/>
          <w:color w:val="FF0000"/>
          <w:kern w:val="0"/>
          <w:szCs w:val="21"/>
          <w:lang w:val="en-US" w:eastAsia="zh-CN"/>
        </w:rPr>
        <w:t>其中装修内容主要含隔断、天棚、墙地面、智能化设备、家具、拆除、垃圾清运、保洁等，材料、设备设施、家具等的具体品牌及样式由业主指定，中标后2天内需提供初步设计方案</w:t>
      </w:r>
      <w:r>
        <w:rPr>
          <w:rFonts w:hint="eastAsia" w:ascii="宋体" w:hAnsi="宋体" w:cs="TimesNewRomanPSMT"/>
          <w:color w:val="FF0000"/>
          <w:kern w:val="0"/>
          <w:szCs w:val="21"/>
        </w:rPr>
        <w:t>。</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2.4.2  细部要求为:详见答疑、招标文件、政府相关文件、规范等其他资料，满足验收要求。</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2.4.3  其它均按</w:t>
      </w:r>
      <w:r>
        <w:rPr>
          <w:rFonts w:hint="eastAsia" w:ascii="宋体" w:hAnsi="宋体" w:cs="TimesNewRomanPSMT"/>
          <w:kern w:val="0"/>
          <w:szCs w:val="21"/>
          <w:lang w:val="en-US" w:eastAsia="zh-CN"/>
        </w:rPr>
        <w:t>现场实际情况</w:t>
      </w:r>
      <w:r>
        <w:rPr>
          <w:rFonts w:hint="eastAsia" w:ascii="宋体" w:hAnsi="宋体" w:cs="TimesNewRomanPSMT"/>
          <w:kern w:val="0"/>
          <w:szCs w:val="21"/>
        </w:rPr>
        <w:t>、业主等单位工作联系单要求施工。</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宋体"/>
          <w:kern w:val="0"/>
          <w:szCs w:val="21"/>
        </w:rPr>
      </w:pPr>
      <w:r>
        <w:rPr>
          <w:rFonts w:hint="eastAsia" w:ascii="宋体" w:hAnsi="宋体" w:cs="TimesNewRomanPSMT"/>
          <w:kern w:val="0"/>
          <w:szCs w:val="21"/>
        </w:rPr>
        <w:t>2.5 工程地点：位于</w:t>
      </w:r>
      <w:r>
        <w:rPr>
          <w:rFonts w:hint="eastAsia" w:ascii="宋体" w:hAnsi="宋体" w:cs="TimesNewRomanPSMT"/>
          <w:color w:val="FF0000"/>
          <w:kern w:val="0"/>
          <w:szCs w:val="21"/>
        </w:rPr>
        <w:t>湖州</w:t>
      </w:r>
      <w:r>
        <w:rPr>
          <w:rFonts w:hint="eastAsia" w:ascii="宋体" w:hAnsi="宋体" w:cs="TimesNewRomanPSMT"/>
          <w:color w:val="FF0000"/>
          <w:kern w:val="0"/>
          <w:szCs w:val="21"/>
          <w:lang w:val="en-US" w:eastAsia="zh-CN"/>
        </w:rPr>
        <w:t>南浔区</w:t>
      </w:r>
      <w:r>
        <w:rPr>
          <w:rFonts w:hint="eastAsia" w:ascii="宋体" w:hAnsi="宋体" w:cs="TimesNewRomanPSMT"/>
          <w:color w:val="FF0000"/>
          <w:kern w:val="0"/>
          <w:szCs w:val="21"/>
        </w:rPr>
        <w:t>南浔镇</w:t>
      </w:r>
      <w:r>
        <w:rPr>
          <w:rFonts w:hint="eastAsia" w:ascii="宋体" w:hAnsi="宋体" w:cs="TimesNewRomanPSMT"/>
          <w:color w:val="FF0000"/>
          <w:kern w:val="0"/>
          <w:szCs w:val="21"/>
          <w:lang w:val="en-US" w:eastAsia="zh-CN"/>
        </w:rPr>
        <w:t>未来广场A2号楼19层</w:t>
      </w:r>
      <w:r>
        <w:rPr>
          <w:rFonts w:hint="eastAsia"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投标人资格要求</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left"/>
        <w:textAlignment w:val="auto"/>
        <w:rPr>
          <w:rFonts w:ascii="宋体" w:hAnsi="宋体" w:cs="宋体"/>
          <w:kern w:val="0"/>
          <w:szCs w:val="21"/>
        </w:rPr>
      </w:pPr>
      <w:r>
        <w:rPr>
          <w:rFonts w:hint="eastAsia" w:ascii="宋体" w:hAnsi="宋体" w:cs="宋体"/>
          <w:kern w:val="0"/>
          <w:szCs w:val="21"/>
        </w:rPr>
        <w:t>本次招标要求投标人须具</w:t>
      </w:r>
      <w:r>
        <w:rPr>
          <w:rFonts w:hint="eastAsia" w:ascii="宋体" w:hAnsi="宋体" w:cs="宋体"/>
          <w:color w:val="auto"/>
          <w:kern w:val="0"/>
          <w:szCs w:val="21"/>
        </w:rPr>
        <w:t>备</w:t>
      </w:r>
      <w:r>
        <w:rPr>
          <w:rFonts w:hint="eastAsia" w:ascii="宋体" w:hAnsi="宋体" w:cs="宋体"/>
          <w:color w:val="FF0000"/>
          <w:kern w:val="0"/>
          <w:szCs w:val="21"/>
          <w:u w:val="single"/>
          <w:lang w:val="en-US" w:eastAsia="zh-CN"/>
        </w:rPr>
        <w:t>建筑施工劳务资质不分级资质</w:t>
      </w:r>
      <w:r>
        <w:rPr>
          <w:rFonts w:hint="eastAsia" w:ascii="宋体" w:hAnsi="宋体" w:cs="宋体"/>
          <w:kern w:val="0"/>
          <w:szCs w:val="21"/>
          <w:u w:val="single"/>
        </w:rPr>
        <w:t xml:space="preserve"> </w:t>
      </w:r>
      <w:r>
        <w:rPr>
          <w:rFonts w:hint="eastAsia" w:ascii="宋体" w:hAnsi="宋体" w:cs="宋体"/>
          <w:kern w:val="0"/>
          <w:szCs w:val="21"/>
          <w:u w:val="none"/>
        </w:rPr>
        <w:t>有类似工程施工业绩</w:t>
      </w:r>
      <w:r>
        <w:rPr>
          <w:rFonts w:hint="eastAsia" w:ascii="宋体" w:hAnsi="宋体" w:cs="宋体"/>
          <w:kern w:val="0"/>
          <w:szCs w:val="21"/>
        </w:rPr>
        <w:t>，并在人员、设备、资金等方面具有相应的施工能力。项目团队主要人员必须为投标人公司员工（需附证明资料）。</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招标文件的获取</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TimesNewRomanPSMT"/>
          <w:kern w:val="0"/>
          <w:szCs w:val="21"/>
        </w:rPr>
        <w:t xml:space="preserve">4.1 </w:t>
      </w:r>
      <w:r>
        <w:rPr>
          <w:rFonts w:hint="eastAsia" w:ascii="宋体" w:hAnsi="宋体" w:cs="仿宋_GB2312"/>
          <w:kern w:val="0"/>
          <w:szCs w:val="21"/>
        </w:rPr>
        <w:t>凡有意参加投标者，请于</w:t>
      </w:r>
      <w:r>
        <w:rPr>
          <w:rFonts w:hint="eastAsia" w:ascii="宋体" w:hAnsi="宋体" w:cs="宋体"/>
          <w:color w:val="FF0000"/>
          <w:kern w:val="0"/>
          <w:szCs w:val="21"/>
          <w:u w:val="single"/>
          <w:lang w:val="en-US" w:eastAsia="zh-CN"/>
        </w:rPr>
        <w:t>2021年6月2日至2021年6月4日</w:t>
      </w:r>
      <w:r>
        <w:rPr>
          <w:rFonts w:hint="eastAsia" w:ascii="宋体" w:hAnsi="宋体" w:cs="仿宋_GB2312"/>
          <w:bCs/>
          <w:kern w:val="0"/>
          <w:szCs w:val="21"/>
        </w:rPr>
        <w:t>，</w:t>
      </w:r>
      <w:r>
        <w:rPr>
          <w:rFonts w:hint="eastAsia" w:ascii="宋体" w:hAnsi="宋体" w:cs="仿宋_GB2312"/>
          <w:kern w:val="0"/>
          <w:szCs w:val="21"/>
        </w:rPr>
        <w:t>在湖州南浔城投城市建设集团有限公司官网（www.hznxctszlh.com）查看招标信息。</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仿宋_GB2312"/>
          <w:kern w:val="0"/>
          <w:szCs w:val="21"/>
        </w:rPr>
        <w:t>4.</w:t>
      </w:r>
      <w:r>
        <w:rPr>
          <w:rFonts w:hint="eastAsia" w:ascii="宋体" w:hAnsi="宋体" w:cs="仿宋_GB2312"/>
          <w:kern w:val="0"/>
          <w:szCs w:val="21"/>
        </w:rPr>
        <w:t>2招标文件领取及投标时间：</w:t>
      </w:r>
      <w:r>
        <w:rPr>
          <w:rFonts w:hint="eastAsia" w:ascii="宋体" w:hAnsi="宋体" w:cs="仿宋_GB2312"/>
          <w:kern w:val="0"/>
          <w:szCs w:val="21"/>
          <w:u w:val="single"/>
        </w:rPr>
        <w:t>以湖州南浔城投城市建设集团有限公司官网信息为准</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投标文件的递交</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TimesNewRomanPSMT"/>
          <w:kern w:val="0"/>
          <w:szCs w:val="21"/>
        </w:rPr>
        <w:t>5.1</w:t>
      </w:r>
      <w:r>
        <w:rPr>
          <w:rFonts w:hint="eastAsia" w:ascii="宋体" w:hAnsi="宋体" w:cs="仿宋_GB2312"/>
          <w:kern w:val="0"/>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kern w:val="0"/>
          <w:szCs w:val="21"/>
        </w:rPr>
      </w:pPr>
      <w:r>
        <w:rPr>
          <w:rFonts w:hint="eastAsia" w:ascii="宋体" w:hAnsi="宋体" w:cs="仿宋_GB2312"/>
          <w:kern w:val="0"/>
          <w:szCs w:val="21"/>
        </w:rPr>
        <w:t>5.2此工程分包招</w:t>
      </w:r>
      <w:r>
        <w:rPr>
          <w:rFonts w:hint="eastAsia" w:ascii="宋体" w:hAnsi="宋体" w:cs="仿宋_GB2312"/>
          <w:color w:val="FF0000"/>
          <w:kern w:val="0"/>
          <w:szCs w:val="21"/>
        </w:rPr>
        <w:t>基础下浮费率为：</w:t>
      </w:r>
      <w:r>
        <w:rPr>
          <w:rFonts w:hint="eastAsia" w:ascii="宋体" w:hAnsi="宋体" w:cs="仿宋_GB2312"/>
          <w:color w:val="FF0000"/>
          <w:kern w:val="0"/>
          <w:szCs w:val="21"/>
          <w:u w:val="single"/>
          <w:lang w:val="en-US" w:eastAsia="zh-CN"/>
        </w:rPr>
        <w:t>18</w:t>
      </w:r>
      <w:r>
        <w:rPr>
          <w:rFonts w:hint="eastAsia" w:ascii="宋体" w:hAnsi="宋体" w:cs="仿宋_GB2312"/>
          <w:color w:val="FF0000"/>
          <w:kern w:val="0"/>
          <w:szCs w:val="21"/>
        </w:rPr>
        <w:t>%（审计结算价*下浮点率）</w:t>
      </w:r>
      <w:r>
        <w:rPr>
          <w:rFonts w:hint="eastAsia" w:ascii="宋体" w:hAnsi="宋体" w:cs="仿宋_GB2312"/>
          <w:kern w:val="0"/>
          <w:szCs w:val="21"/>
        </w:rPr>
        <w:t>，投标单位投标报价</w:t>
      </w:r>
      <w:r>
        <w:rPr>
          <w:rFonts w:hint="eastAsia" w:ascii="宋体" w:hAnsi="宋体" w:cs="仿宋_GB2312"/>
          <w:color w:val="FF0000"/>
          <w:kern w:val="0"/>
          <w:szCs w:val="21"/>
        </w:rPr>
        <w:t>不得低于基础价</w:t>
      </w:r>
      <w:r>
        <w:rPr>
          <w:rFonts w:hint="eastAsia" w:ascii="宋体" w:hAnsi="宋体" w:cs="仿宋_GB2312"/>
          <w:kern w:val="0"/>
          <w:szCs w:val="21"/>
        </w:rPr>
        <w:t>，否则作为废标处理。</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仿宋_GB2312"/>
          <w:kern w:val="0"/>
          <w:szCs w:val="21"/>
        </w:rPr>
      </w:pPr>
      <w:r>
        <w:rPr>
          <w:rFonts w:hint="eastAsia" w:ascii="宋体" w:hAnsi="宋体" w:cs="仿宋_GB2312"/>
          <w:kern w:val="0"/>
          <w:szCs w:val="21"/>
        </w:rPr>
        <w:t>5.3投标时所附文件包括：《投标函》、《法人授权委托书》、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、《施工方案》</w:t>
      </w:r>
      <w:r>
        <w:rPr>
          <w:rFonts w:hint="eastAsia" w:ascii="宋体" w:hAnsi="宋体" w:cs="仿宋_GB2312"/>
          <w:kern w:val="0"/>
          <w:szCs w:val="21"/>
          <w:lang w:eastAsia="zh-CN"/>
        </w:rPr>
        <w:t>、</w:t>
      </w:r>
      <w:r>
        <w:rPr>
          <w:rFonts w:hint="eastAsia" w:ascii="宋体" w:hAnsi="宋体" w:cs="仿宋_GB2312"/>
          <w:kern w:val="0"/>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szCs w:val="21"/>
        </w:rPr>
      </w:pPr>
      <w:r>
        <w:rPr>
          <w:rFonts w:ascii="宋体" w:hAnsi="宋体" w:cs="仿宋_GB2312"/>
          <w:kern w:val="0"/>
          <w:szCs w:val="21"/>
        </w:rPr>
        <w:t>5.</w:t>
      </w:r>
      <w:r>
        <w:rPr>
          <w:rFonts w:hint="eastAsia" w:ascii="宋体" w:hAnsi="宋体" w:cs="仿宋_GB2312"/>
          <w:kern w:val="0"/>
          <w:szCs w:val="21"/>
        </w:rPr>
        <w:t>4</w:t>
      </w:r>
      <w:r>
        <w:rPr>
          <w:rFonts w:hint="eastAsia" w:ascii="宋体" w:hAnsi="宋体" w:cs="仿宋_GB2312"/>
          <w:szCs w:val="21"/>
        </w:rPr>
        <w:t>规定的投标时间截止后招标单位不接收投标文件。</w:t>
      </w: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hint="eastAsia" w:ascii="宋体" w:hAnsi="宋体" w:cs="黑体"/>
          <w:b/>
          <w:kern w:val="0"/>
          <w:szCs w:val="21"/>
          <w:u w:val="single"/>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4" w:name="投标人须知"/>
      <w:r>
        <w:rPr>
          <w:rFonts w:hint="eastAsia" w:ascii="宋体" w:hAnsi="宋体" w:cs="黑体"/>
          <w:b/>
          <w:kern w:val="0"/>
          <w:szCs w:val="21"/>
          <w:u w:val="single"/>
        </w:rPr>
        <w:t>投标人须知</w:t>
      </w:r>
      <w:bookmarkEnd w:id="4"/>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1"/>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Ansi="宋体" w:cs="仿宋_GB2312"/>
                <w:color w:val="auto"/>
                <w:sz w:val="21"/>
                <w:szCs w:val="21"/>
              </w:rPr>
              <w:t>莘</w:t>
            </w:r>
            <w:r>
              <w:rPr>
                <w:rFonts w:hint="eastAsia" w:hAnsi="宋体" w:cs="Times New Roman"/>
                <w:color w:val="auto"/>
                <w:sz w:val="18"/>
                <w:szCs w:val="18"/>
              </w:rPr>
              <w:t>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Cs w:val="21"/>
                <w:u w:val="none"/>
                <w:lang w:val="en-US" w:eastAsia="zh-CN"/>
              </w:rPr>
              <w:t>区统一战线综合体（民主党派活动中心）工程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spacing w:line="240" w:lineRule="auto"/>
              <w:rPr>
                <w:rFonts w:hint="default" w:hAnsi="宋体"/>
                <w:color w:val="FF0000"/>
                <w:szCs w:val="21"/>
                <w:lang w:val="en-US"/>
              </w:rPr>
            </w:pPr>
            <w:r>
              <w:rPr>
                <w:rFonts w:hint="eastAsia" w:ascii="宋体" w:hAnsi="宋体" w:cs="TimesNewRomanPSMT"/>
                <w:kern w:val="0"/>
                <w:szCs w:val="21"/>
                <w:lang w:val="en-US" w:eastAsia="zh-CN"/>
              </w:rPr>
              <w:t>该</w:t>
            </w:r>
            <w:r>
              <w:rPr>
                <w:rFonts w:hint="eastAsia" w:ascii="宋体" w:hAnsi="宋体" w:cs="TimesNewRomanPSMT"/>
                <w:color w:val="FF0000"/>
                <w:kern w:val="0"/>
                <w:szCs w:val="21"/>
              </w:rPr>
              <w:t>项目中的</w:t>
            </w:r>
            <w:r>
              <w:rPr>
                <w:rFonts w:hint="eastAsia" w:ascii="宋体" w:hAnsi="宋体" w:cs="TimesNewRomanPSMT"/>
                <w:color w:val="FF0000"/>
                <w:kern w:val="0"/>
                <w:szCs w:val="21"/>
                <w:lang w:val="en-US" w:eastAsia="zh-CN"/>
              </w:rPr>
              <w:t>17间办公室、1间大会议室、1间小会议室、1间接待室的装修设计及施工</w:t>
            </w:r>
            <w:r>
              <w:rPr>
                <w:rFonts w:hint="eastAsia" w:ascii="宋体" w:hAnsi="宋体" w:cs="TimesNewRomanPSMT"/>
                <w:color w:val="FF0000"/>
                <w:kern w:val="0"/>
                <w:szCs w:val="21"/>
                <w:lang w:eastAsia="zh-CN"/>
              </w:rPr>
              <w:t>，</w:t>
            </w:r>
            <w:r>
              <w:rPr>
                <w:rFonts w:hint="eastAsia" w:ascii="宋体" w:hAnsi="宋体" w:cs="TimesNewRomanPSMT"/>
                <w:color w:val="FF0000"/>
                <w:kern w:val="0"/>
                <w:szCs w:val="21"/>
                <w:lang w:val="en-US" w:eastAsia="zh-CN"/>
              </w:rPr>
              <w:t>其中装修内容主要含隔断、天棚、墙地面、智能化设备、家具、拆除、垃圾清运、保洁等，材料、设备设施、家具等的具体品牌及样式由业主指定，中标后2天内需提供初步设计方案。</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绝对工期：</w:t>
            </w:r>
            <w:r>
              <w:rPr>
                <w:rFonts w:hint="eastAsia" w:hAnsi="宋体"/>
                <w:color w:val="FF0000"/>
                <w:sz w:val="21"/>
                <w:szCs w:val="21"/>
                <w:lang w:val="en-US" w:eastAsia="zh-CN"/>
              </w:rPr>
              <w:t>60</w:t>
            </w:r>
            <w:r>
              <w:rPr>
                <w:rFonts w:hint="eastAsia" w:hAnsi="宋体"/>
                <w:color w:val="auto"/>
                <w:sz w:val="21"/>
                <w:szCs w:val="21"/>
              </w:rPr>
              <w:t>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7"/>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int="eastAsia" w:hAnsi="宋体" w:eastAsia="宋体" w:cs="Times New Roman"/>
                <w:color w:val="auto"/>
                <w:sz w:val="21"/>
                <w:szCs w:val="21"/>
                <w:lang w:eastAsia="zh-CN"/>
              </w:rPr>
            </w:pPr>
            <w:r>
              <w:rPr>
                <w:rFonts w:hint="eastAsia" w:hAnsi="宋体"/>
                <w:color w:val="auto"/>
                <w:sz w:val="21"/>
                <w:szCs w:val="21"/>
              </w:rPr>
              <w:t>计划开工日期：2021年</w:t>
            </w:r>
            <w:r>
              <w:rPr>
                <w:rFonts w:hint="eastAsia" w:hAnsi="宋体"/>
                <w:color w:val="auto"/>
                <w:sz w:val="21"/>
                <w:szCs w:val="21"/>
                <w:lang w:val="en-US" w:eastAsia="zh-CN"/>
              </w:rPr>
              <w:t>6</w:t>
            </w:r>
            <w:r>
              <w:rPr>
                <w:rFonts w:hint="eastAsia" w:hAnsi="宋体"/>
                <w:color w:val="auto"/>
                <w:sz w:val="21"/>
                <w:szCs w:val="21"/>
              </w:rPr>
              <w:t>月</w:t>
            </w:r>
            <w:r>
              <w:rPr>
                <w:rFonts w:hint="eastAsia" w:hAnsi="宋体"/>
                <w:color w:val="auto"/>
                <w:sz w:val="21"/>
                <w:szCs w:val="21"/>
                <w:lang w:val="en-US" w:eastAsia="zh-CN"/>
              </w:rPr>
              <w:t>15</w:t>
            </w:r>
            <w:r>
              <w:rPr>
                <w:rFonts w:hint="eastAsia" w:hAnsi="宋体"/>
                <w:color w:val="auto"/>
                <w:sz w:val="21"/>
                <w:szCs w:val="21"/>
              </w:rPr>
              <w:t>日</w:t>
            </w:r>
            <w:r>
              <w:rPr>
                <w:rFonts w:hint="eastAsia" w:hAnsi="宋体"/>
                <w:color w:val="auto"/>
                <w:sz w:val="21"/>
                <w:szCs w:val="21"/>
                <w:lang w:eastAsia="zh-CN"/>
              </w:rPr>
              <w:t>（</w:t>
            </w:r>
            <w:r>
              <w:rPr>
                <w:rFonts w:hint="eastAsia" w:hAnsi="宋体"/>
                <w:color w:val="auto"/>
                <w:sz w:val="21"/>
                <w:szCs w:val="21"/>
                <w:lang w:val="en-US" w:eastAsia="zh-CN"/>
              </w:rPr>
              <w:t>具体以业主要求为准</w:t>
            </w:r>
            <w:r>
              <w:rPr>
                <w:rFonts w:hint="eastAsia" w:hAnsi="宋体"/>
                <w:color w:val="auto"/>
                <w:sz w:val="21"/>
                <w:szCs w:val="21"/>
                <w:lang w:eastAsia="zh-CN"/>
              </w:rPr>
              <w:t>）</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6</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4</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6"/>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、《施工方案》、《业绩情况》、《分包项目管理人员表》、《项目管理组织机构》，分包项目管理人员名单附相对应人员的有效证件。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kern w:val="0"/>
          <w:szCs w:val="21"/>
        </w:rPr>
        <w:t>本次评标采用经评审的</w:t>
      </w:r>
      <w:r>
        <w:rPr>
          <w:rFonts w:hint="eastAsia" w:ascii="宋体" w:hAnsi="宋体" w:cs="仿宋_GB2312"/>
          <w:kern w:val="0"/>
          <w:szCs w:val="21"/>
          <w:u w:val="single"/>
        </w:rPr>
        <w:t xml:space="preserve"> 综合评分 </w:t>
      </w:r>
      <w:r>
        <w:rPr>
          <w:rFonts w:hint="eastAsia" w:ascii="宋体" w:hAnsi="宋体" w:cs="仿宋_GB2312"/>
          <w:kern w:val="0"/>
          <w:szCs w:val="21"/>
        </w:rPr>
        <w:t>法。</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7.3.1 </w:t>
      </w:r>
      <w:r>
        <w:rPr>
          <w:rFonts w:hint="eastAsia" w:ascii="宋体" w:hAnsi="宋体" w:cs="仿宋_GB2312"/>
          <w:kern w:val="0"/>
          <w:szCs w:val="21"/>
        </w:rPr>
        <w:t>在签订合同前，中标人应按投标人须知前附表规定的金额、担保形式和招标文件“合同条款及格式”规定的履约担保格式向招标人提交履约担保。</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7.3.2 </w:t>
      </w:r>
      <w:r>
        <w:rPr>
          <w:rFonts w:hint="eastAsia" w:ascii="宋体" w:hAnsi="宋体" w:cs="仿宋_GB2312"/>
          <w:kern w:val="0"/>
          <w:szCs w:val="21"/>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7.4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7.4.1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rPr>
        <w:t>14</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7.4.2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5" w:name="_Toc246996962"/>
      <w:bookmarkStart w:id="6" w:name="_Toc246996219"/>
      <w:bookmarkStart w:id="7" w:name="_Toc144974543"/>
      <w:bookmarkStart w:id="8" w:name="_Toc296602462"/>
      <w:bookmarkStart w:id="9" w:name="_Toc247085733"/>
      <w:bookmarkStart w:id="10" w:name="_Toc296590983"/>
      <w:bookmarkStart w:id="11" w:name="_Toc152042351"/>
      <w:bookmarkStart w:id="12" w:name="_Toc152045575"/>
      <w:bookmarkStart w:id="13" w:name="_Toc179632593"/>
      <w:r>
        <w:rPr>
          <w:rFonts w:hint="eastAsia" w:ascii="宋体" w:hAnsi="宋体" w:cs="TimesNewRomanPSMT"/>
          <w:kern w:val="0"/>
          <w:szCs w:val="21"/>
        </w:rPr>
        <w:t>9.1 对招标人的纪律要求</w:t>
      </w:r>
      <w:bookmarkEnd w:id="5"/>
      <w:bookmarkEnd w:id="6"/>
      <w:bookmarkEnd w:id="7"/>
      <w:bookmarkEnd w:id="8"/>
      <w:bookmarkEnd w:id="9"/>
      <w:bookmarkEnd w:id="10"/>
      <w:bookmarkEnd w:id="11"/>
      <w:bookmarkEnd w:id="12"/>
      <w:bookmarkEnd w:id="13"/>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4" w:name="_Toc247085734"/>
      <w:bookmarkStart w:id="15" w:name="_Toc179632594"/>
      <w:bookmarkStart w:id="16" w:name="_Toc152045576"/>
      <w:bookmarkStart w:id="17" w:name="_Toc246996220"/>
      <w:bookmarkStart w:id="18" w:name="_Toc246996963"/>
      <w:bookmarkStart w:id="19" w:name="_Toc144974544"/>
      <w:bookmarkStart w:id="20" w:name="_Toc296602463"/>
      <w:bookmarkStart w:id="21" w:name="_Toc152042352"/>
      <w:r>
        <w:rPr>
          <w:rFonts w:hint="eastAsia" w:ascii="宋体" w:hAnsi="宋体" w:cs="TimesNewRomanPSMT"/>
          <w:kern w:val="0"/>
          <w:szCs w:val="21"/>
        </w:rPr>
        <w:t>9.2 对投标人的纪律要求</w:t>
      </w:r>
      <w:bookmarkEnd w:id="14"/>
      <w:bookmarkEnd w:id="15"/>
      <w:bookmarkEnd w:id="16"/>
      <w:bookmarkEnd w:id="17"/>
      <w:bookmarkEnd w:id="18"/>
      <w:bookmarkEnd w:id="19"/>
      <w:bookmarkEnd w:id="20"/>
      <w:bookmarkEnd w:id="21"/>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22" w:name="_Toc296602464"/>
      <w:bookmarkStart w:id="23" w:name="_Toc144974545"/>
      <w:bookmarkStart w:id="24" w:name="_Toc246996964"/>
      <w:bookmarkStart w:id="25" w:name="_Toc247085735"/>
      <w:bookmarkStart w:id="26" w:name="_Toc246996221"/>
      <w:bookmarkStart w:id="27" w:name="_Toc179632595"/>
      <w:bookmarkStart w:id="28" w:name="_Toc152045577"/>
      <w:bookmarkStart w:id="29" w:name="_Toc152042353"/>
      <w:r>
        <w:rPr>
          <w:rFonts w:hint="eastAsia" w:ascii="宋体" w:hAnsi="宋体" w:cs="TimesNewRomanPSMT"/>
          <w:kern w:val="0"/>
          <w:szCs w:val="21"/>
        </w:rPr>
        <w:t>9.3 对评标委员会成员的纪律要求</w:t>
      </w:r>
      <w:bookmarkEnd w:id="22"/>
      <w:bookmarkEnd w:id="23"/>
      <w:bookmarkEnd w:id="24"/>
      <w:bookmarkEnd w:id="25"/>
      <w:bookmarkEnd w:id="26"/>
      <w:bookmarkEnd w:id="27"/>
      <w:bookmarkEnd w:id="28"/>
      <w:bookmarkEnd w:id="29"/>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30" w:name="_Toc246996965"/>
      <w:bookmarkStart w:id="31" w:name="_Toc246996222"/>
      <w:bookmarkStart w:id="32" w:name="_Toc152045578"/>
      <w:bookmarkStart w:id="33" w:name="_Toc296602465"/>
      <w:bookmarkStart w:id="34" w:name="_Toc152042354"/>
      <w:bookmarkStart w:id="35" w:name="_Toc179632596"/>
      <w:bookmarkStart w:id="36" w:name="_Toc247085736"/>
      <w:bookmarkStart w:id="37" w:name="_Toc144974546"/>
      <w:r>
        <w:rPr>
          <w:rFonts w:hint="eastAsia" w:ascii="宋体" w:hAnsi="宋体" w:cs="TimesNewRomanPSMT"/>
          <w:kern w:val="0"/>
          <w:szCs w:val="21"/>
        </w:rPr>
        <w:t>9.4 对与评标活动有关的工作人员的纪律要求</w:t>
      </w:r>
      <w:bookmarkEnd w:id="30"/>
      <w:bookmarkEnd w:id="31"/>
      <w:bookmarkEnd w:id="32"/>
      <w:bookmarkEnd w:id="33"/>
      <w:bookmarkEnd w:id="34"/>
      <w:bookmarkEnd w:id="35"/>
      <w:bookmarkEnd w:id="36"/>
    </w:p>
    <w:p>
      <w:pPr>
        <w:autoSpaceDE w:val="0"/>
        <w:autoSpaceDN w:val="0"/>
        <w:adjustRightInd w:val="0"/>
        <w:jc w:val="left"/>
        <w:rPr>
          <w:rFonts w:ascii="宋体" w:hAnsi="宋体" w:cs="TimesNewRomanPSMT"/>
          <w:kern w:val="0"/>
          <w:szCs w:val="21"/>
        </w:rPr>
      </w:pPr>
      <w:bookmarkStart w:id="38"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8"/>
    </w:p>
    <w:p>
      <w:pPr>
        <w:autoSpaceDE w:val="0"/>
        <w:autoSpaceDN w:val="0"/>
        <w:adjustRightInd w:val="0"/>
        <w:jc w:val="left"/>
        <w:rPr>
          <w:rFonts w:hint="eastAsia" w:ascii="宋体" w:hAnsi="宋体" w:cs="TimesNewRomanPSMT"/>
          <w:kern w:val="0"/>
          <w:szCs w:val="21"/>
        </w:rPr>
      </w:pPr>
      <w:bookmarkStart w:id="39" w:name="_Toc247085737"/>
      <w:bookmarkStart w:id="40" w:name="_Toc152045579"/>
      <w:bookmarkStart w:id="41" w:name="_Toc179632597"/>
      <w:bookmarkStart w:id="42" w:name="_Toc152042356"/>
      <w:bookmarkStart w:id="43" w:name="_Toc246996966"/>
      <w:bookmarkStart w:id="44" w:name="_Toc296602466"/>
      <w:bookmarkStart w:id="45" w:name="_Toc246996223"/>
      <w:r>
        <w:rPr>
          <w:rFonts w:hint="eastAsia" w:ascii="宋体" w:hAnsi="宋体" w:cs="TimesNewRomanPSMT"/>
          <w:kern w:val="0"/>
          <w:szCs w:val="21"/>
        </w:rPr>
        <w:t>9.5 投诉</w:t>
      </w:r>
      <w:bookmarkEnd w:id="37"/>
      <w:bookmarkEnd w:id="39"/>
      <w:bookmarkEnd w:id="40"/>
      <w:bookmarkEnd w:id="41"/>
      <w:bookmarkEnd w:id="42"/>
      <w:bookmarkEnd w:id="43"/>
      <w:bookmarkEnd w:id="44"/>
      <w:bookmarkEnd w:id="45"/>
    </w:p>
    <w:p>
      <w:pPr>
        <w:autoSpaceDE w:val="0"/>
        <w:autoSpaceDN w:val="0"/>
        <w:adjustRightInd w:val="0"/>
        <w:jc w:val="left"/>
      </w:pPr>
      <w:r>
        <w:rPr>
          <w:rFonts w:hint="eastAsia" w:ascii="宋体" w:hAnsi="宋体" w:cs="TimesNewRomanPSMT"/>
          <w:kern w:val="0"/>
          <w:szCs w:val="21"/>
        </w:rPr>
        <w:t>投标人和其他利害关系人认为本次招标活动违反法律、法规和规章规定的，有权向南浔城投集团纪检部门投诉。</w:t>
      </w:r>
    </w:p>
    <w:p>
      <w:pPr>
        <w:pStyle w:val="2"/>
        <w:spacing w:after="0" w:line="240" w:lineRule="auto"/>
        <w:ind w:left="0" w:leftChars="0" w:right="0" w:rightChars="0" w:firstLine="0" w:firstLineChars="0"/>
        <w:rPr>
          <w:rFonts w:hint="default" w:eastAsia="宋体"/>
          <w:b/>
          <w:bCs/>
          <w:lang w:val="en-US" w:eastAsia="zh-CN"/>
        </w:rPr>
      </w:pPr>
      <w:r>
        <w:rPr>
          <w:rFonts w:hint="eastAsia"/>
          <w:b/>
          <w:bCs/>
          <w:lang w:val="en-US" w:eastAsia="zh-CN"/>
        </w:rPr>
        <w:t>第三章评分方法</w:t>
      </w:r>
    </w:p>
    <w:p>
      <w:pPr>
        <w:numPr>
          <w:ilvl w:val="0"/>
          <w:numId w:val="0"/>
        </w:numPr>
        <w:spacing w:line="240" w:lineRule="auto"/>
        <w:jc w:val="center"/>
      </w:pPr>
    </w:p>
    <w:tbl>
      <w:tblPr>
        <w:tblStyle w:val="11"/>
        <w:tblpPr w:leftFromText="180" w:rightFromText="180" w:vertAnchor="text" w:horzAnchor="margin" w:tblpY="-46"/>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5168"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80</w:t>
            </w:r>
          </w:p>
        </w:tc>
        <w:tc>
          <w:tcPr>
            <w:tcW w:w="5775" w:type="dxa"/>
            <w:tcBorders>
              <w:top w:val="nil"/>
              <w:left w:val="nil"/>
              <w:bottom w:val="single" w:color="auto" w:sz="4" w:space="0"/>
              <w:right w:val="single" w:color="auto" w:sz="4" w:space="0"/>
            </w:tcBorders>
            <w:vAlign w:val="center"/>
          </w:tcPr>
          <w:p>
            <w:pPr>
              <w:spacing w:beforeLines="0" w:afterLines="0" w:line="240" w:lineRule="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竞标基准价的确定：</w:t>
            </w:r>
          </w:p>
          <w:p>
            <w:pPr>
              <w:spacing w:beforeLines="0" w:afterLines="0" w:line="240" w:lineRule="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通过初步评审，经算术性修正后所有竞标人竞标价去掉一个最高值和一个最低值作算术平均（如果参与计算的竞标价少于5家时，则计算平均值不去掉最高值和最低值），将该平均值作为竞标基准价。</w:t>
            </w:r>
          </w:p>
          <w:p>
            <w:pPr>
              <w:spacing w:beforeLines="0" w:afterLines="0" w:line="240" w:lineRule="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竞标价得分计算公式为（计算结果保留两位小数）：</w:t>
            </w:r>
          </w:p>
          <w:p>
            <w:pPr>
              <w:spacing w:beforeLines="0" w:afterLines="0" w:line="240" w:lineRule="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（1）竞标价&gt;竞标基准价，则竞标价得分=</w:t>
            </w:r>
            <w:r>
              <w:rPr>
                <w:rFonts w:hint="eastAsia" w:ascii="宋体" w:hAnsi="宋体" w:cs="宋体"/>
                <w:color w:val="000000"/>
                <w:sz w:val="21"/>
                <w:szCs w:val="21"/>
                <w:lang w:val="en-US" w:eastAsia="zh-CN"/>
              </w:rPr>
              <w:t>F</w:t>
            </w:r>
            <w:r>
              <w:rPr>
                <w:rFonts w:hint="eastAsia" w:ascii="宋体" w:hAnsi="宋体" w:eastAsia="宋体" w:cs="宋体"/>
                <w:color w:val="000000"/>
                <w:sz w:val="21"/>
                <w:szCs w:val="21"/>
                <w:lang w:val="zh-CN"/>
              </w:rPr>
              <w:t>-（竞标价-竞标基准价）/竞标基准价</w:t>
            </w:r>
            <w:r>
              <w:rPr>
                <w:rFonts w:hint="eastAsia" w:ascii="宋体" w:hAnsi="宋体" w:cs="宋体"/>
                <w:color w:val="000000"/>
                <w:sz w:val="21"/>
                <w:szCs w:val="21"/>
                <w:lang w:val="en-US" w:eastAsia="zh-CN"/>
              </w:rPr>
              <w:t>*100*E</w:t>
            </w:r>
            <w:r>
              <w:rPr>
                <w:rFonts w:hint="eastAsia" w:ascii="宋体" w:hAnsi="宋体" w:eastAsia="宋体" w:cs="宋体"/>
                <w:color w:val="000000"/>
                <w:sz w:val="21"/>
                <w:szCs w:val="21"/>
                <w:lang w:val="zh-CN"/>
              </w:rPr>
              <w:t>1；</w:t>
            </w:r>
          </w:p>
          <w:p>
            <w:pPr>
              <w:spacing w:beforeLines="0" w:afterLines="0" w:line="240" w:lineRule="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（2）竞标价≤竞标基准价，则竞标价得分=F+（竞标价-评标基准价）/竞标基准价</w:t>
            </w:r>
            <w:r>
              <w:rPr>
                <w:rFonts w:hint="eastAsia" w:ascii="宋体" w:hAnsi="宋体" w:cs="宋体"/>
                <w:color w:val="000000"/>
                <w:sz w:val="21"/>
                <w:szCs w:val="21"/>
                <w:lang w:val="en-US" w:eastAsia="zh-CN"/>
              </w:rPr>
              <w:t>*100*E2</w:t>
            </w:r>
            <w:r>
              <w:rPr>
                <w:rFonts w:hint="eastAsia" w:ascii="宋体" w:hAnsi="宋体" w:eastAsia="宋体" w:cs="宋体"/>
                <w:color w:val="000000"/>
                <w:sz w:val="21"/>
                <w:szCs w:val="21"/>
                <w:lang w:val="zh-CN"/>
              </w:rPr>
              <w:t>；</w:t>
            </w:r>
          </w:p>
          <w:p>
            <w:pPr>
              <w:spacing w:beforeLines="0" w:afterLines="0" w:line="240" w:lineRule="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其中：F=80（竞标价所占的评分满分值）；</w:t>
            </w:r>
          </w:p>
          <w:p>
            <w:pPr>
              <w:spacing w:beforeLines="0" w:afterLines="0" w:line="240" w:lineRule="auto"/>
              <w:rPr>
                <w:rFonts w:hint="eastAsia" w:ascii="宋体" w:hAnsi="宋体" w:cs="宋体"/>
                <w:color w:val="FF0000"/>
                <w:sz w:val="21"/>
                <w:szCs w:val="21"/>
                <w:lang w:val="en-US" w:eastAsia="zh-CN"/>
              </w:rPr>
            </w:pPr>
            <w:r>
              <w:rPr>
                <w:rFonts w:hint="eastAsia" w:ascii="宋体" w:hAnsi="宋体" w:eastAsia="宋体" w:cs="宋体"/>
                <w:color w:val="FF0000"/>
                <w:sz w:val="21"/>
                <w:szCs w:val="21"/>
                <w:lang w:val="zh-CN"/>
              </w:rPr>
              <w:t>E1=</w:t>
            </w:r>
            <w:r>
              <w:rPr>
                <w:rFonts w:hint="eastAsia" w:ascii="宋体" w:hAnsi="宋体" w:cs="宋体"/>
                <w:color w:val="FF0000"/>
                <w:sz w:val="21"/>
                <w:szCs w:val="21"/>
                <w:lang w:val="en-US" w:eastAsia="zh-CN"/>
              </w:rPr>
              <w:t>0.5</w:t>
            </w:r>
          </w:p>
          <w:p>
            <w:pPr>
              <w:spacing w:beforeLines="0" w:afterLines="0" w:line="240" w:lineRule="auto"/>
              <w:rPr>
                <w:rFonts w:hint="default"/>
                <w:lang w:val="en-US" w:eastAsia="zh-CN"/>
              </w:rPr>
            </w:pPr>
            <w:r>
              <w:rPr>
                <w:rFonts w:hint="eastAsia" w:ascii="宋体" w:hAnsi="宋体" w:eastAsia="宋体" w:cs="宋体"/>
                <w:color w:val="FF0000"/>
                <w:sz w:val="21"/>
                <w:szCs w:val="21"/>
                <w:lang w:val="zh-CN"/>
              </w:rPr>
              <w:t>E</w:t>
            </w:r>
            <w:r>
              <w:rPr>
                <w:rFonts w:hint="eastAsia" w:ascii="宋体" w:hAnsi="宋体" w:cs="宋体"/>
                <w:color w:val="FF0000"/>
                <w:sz w:val="21"/>
                <w:szCs w:val="21"/>
                <w:lang w:val="en-US" w:eastAsia="zh-CN"/>
              </w:rPr>
              <w:t>2</w:t>
            </w:r>
            <w:r>
              <w:rPr>
                <w:rFonts w:hint="eastAsia" w:ascii="宋体" w:hAnsi="宋体" w:eastAsia="宋体" w:cs="宋体"/>
                <w:color w:val="FF0000"/>
                <w:sz w:val="21"/>
                <w:szCs w:val="21"/>
                <w:lang w:val="zh-CN"/>
              </w:rPr>
              <w:t>=</w:t>
            </w:r>
            <w:r>
              <w:rPr>
                <w:rFonts w:hint="eastAsia" w:ascii="宋体" w:hAnsi="宋体" w:cs="宋体"/>
                <w:color w:val="FF0000"/>
                <w:sz w:val="21"/>
                <w:szCs w:val="21"/>
                <w:lang w:val="en-US" w:eastAsia="zh-CN"/>
              </w:rPr>
              <w:t>1</w:t>
            </w:r>
          </w:p>
          <w:p>
            <w:pPr>
              <w:spacing w:beforeLines="0" w:afterLines="0" w:line="240" w:lineRule="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竞标价最低得分为0分。</w:t>
            </w:r>
          </w:p>
          <w:p>
            <w:pPr>
              <w:spacing w:beforeLines="0" w:afterLines="0" w:line="240" w:lineRule="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竞标价得分计算保留两位小数。</w:t>
            </w:r>
          </w:p>
          <w:p>
            <w:pPr>
              <w:spacing w:beforeLines="0" w:afterLines="0" w:line="240" w:lineRule="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评分不足一个百分点时，使用直线插入法计算得分。</w:t>
            </w:r>
          </w:p>
          <w:p>
            <w:pPr>
              <w:widowControl/>
              <w:jc w:val="left"/>
              <w:rPr>
                <w:rFonts w:ascii="宋体" w:cs="宋体"/>
                <w:kern w:val="0"/>
                <w:szCs w:val="21"/>
              </w:rPr>
            </w:pPr>
          </w:p>
        </w:tc>
      </w:tr>
      <w:tr>
        <w:tblPrEx>
          <w:tblCellMar>
            <w:top w:w="0" w:type="dxa"/>
            <w:left w:w="108" w:type="dxa"/>
            <w:bottom w:w="0" w:type="dxa"/>
            <w:right w:w="108" w:type="dxa"/>
          </w:tblCellMar>
        </w:tblPrEx>
        <w:trPr>
          <w:trHeight w:val="891"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2</w:t>
            </w:r>
          </w:p>
        </w:tc>
        <w:tc>
          <w:tcPr>
            <w:tcW w:w="945" w:type="dxa"/>
            <w:vMerge w:val="restart"/>
            <w:tcBorders>
              <w:top w:val="single" w:color="auto" w:sz="6" w:space="0"/>
              <w:left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其他</w:t>
            </w:r>
          </w:p>
        </w:tc>
        <w:tc>
          <w:tcPr>
            <w:tcW w:w="2018"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仿宋_GB2312"/>
                <w:kern w:val="0"/>
                <w:szCs w:val="21"/>
                <w:lang w:val="en-US" w:eastAsia="zh-CN"/>
              </w:rPr>
              <w:t>总体施工组织布置及规划</w:t>
            </w:r>
          </w:p>
        </w:tc>
        <w:tc>
          <w:tcPr>
            <w:tcW w:w="84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5</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741"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945" w:type="dxa"/>
            <w:vMerge w:val="continue"/>
            <w:tcBorders>
              <w:left w:val="single" w:color="auto" w:sz="4" w:space="0"/>
              <w:right w:val="single" w:color="auto" w:sz="4" w:space="0"/>
            </w:tcBorders>
            <w:vAlign w:val="center"/>
          </w:tcPr>
          <w:p>
            <w:pPr>
              <w:widowControl/>
              <w:jc w:val="center"/>
              <w:rPr>
                <w:rFonts w:ascii="宋体" w:cs="宋体"/>
                <w:kern w:val="0"/>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重难点关键工程的施工方案、方法、措施</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kern w:val="0"/>
                <w:szCs w:val="21"/>
                <w:lang w:eastAsia="zh-CN"/>
              </w:rPr>
            </w:pPr>
            <w:r>
              <w:rPr>
                <w:rFonts w:hint="eastAsia" w:ascii="宋体" w:cs="宋体"/>
                <w:kern w:val="0"/>
                <w:szCs w:val="21"/>
                <w:lang w:val="en-US" w:eastAsia="zh-CN"/>
              </w:rPr>
              <w:t>5</w:t>
            </w:r>
          </w:p>
        </w:tc>
        <w:tc>
          <w:tcPr>
            <w:tcW w:w="57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945"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质量、工期、安全保障方案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270"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945"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2018"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信誉及业绩评价</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w:t>
            </w:r>
            <w:r>
              <w:rPr>
                <w:rFonts w:hint="eastAsia" w:ascii="宋体" w:hAnsi="宋体" w:cs="宋体"/>
                <w:color w:val="000000"/>
                <w:sz w:val="21"/>
                <w:szCs w:val="21"/>
                <w:lang w:val="en-US" w:eastAsia="zh-CN"/>
              </w:rPr>
              <w:t>信誉及业绩</w:t>
            </w:r>
            <w:r>
              <w:rPr>
                <w:rFonts w:hint="default" w:ascii="宋体" w:hAnsi="宋体" w:eastAsia="宋体" w:cs="宋体"/>
                <w:color w:val="000000"/>
                <w:sz w:val="21"/>
                <w:szCs w:val="21"/>
                <w:lang w:val="zh-CN"/>
              </w:rPr>
              <w:t>打分，一般的得1-1.9分，较好的得2-4分，好的得4.1-5分。</w:t>
            </w:r>
          </w:p>
        </w:tc>
      </w:tr>
    </w:tbl>
    <w:p>
      <w:pPr>
        <w:adjustRightInd w:val="0"/>
        <w:spacing w:line="240" w:lineRule="auto"/>
        <w:rPr>
          <w:rFonts w:ascii="宋体" w:hAnsi="宋体" w:cs="TimesNewRomanPSMT"/>
          <w:b/>
          <w:kern w:val="0"/>
          <w:szCs w:val="21"/>
        </w:rPr>
      </w:pPr>
      <w:r>
        <w:rPr>
          <w:rFonts w:hint="eastAsia" w:ascii="宋体" w:hAnsi="宋体" w:cs="仿宋_GB2312"/>
          <w:kern w:val="0"/>
          <w:szCs w:val="21"/>
        </w:rPr>
        <w:t>本次评分办法为综合评分法，满分</w:t>
      </w:r>
      <w:r>
        <w:rPr>
          <w:rFonts w:ascii="宋体" w:hAnsi="宋体" w:cs="仿宋_GB2312"/>
          <w:kern w:val="0"/>
          <w:szCs w:val="21"/>
        </w:rPr>
        <w:t>100</w:t>
      </w:r>
      <w:r>
        <w:rPr>
          <w:rFonts w:hint="eastAsia" w:ascii="宋体" w:hAnsi="宋体" w:cs="仿宋_GB2312"/>
          <w:kern w:val="0"/>
          <w:szCs w:val="21"/>
        </w:rPr>
        <w:t>分，其中报价</w:t>
      </w:r>
      <w:r>
        <w:rPr>
          <w:rFonts w:hint="eastAsia" w:ascii="宋体" w:hAnsi="宋体" w:cs="仿宋_GB2312"/>
          <w:kern w:val="0"/>
          <w:szCs w:val="21"/>
          <w:u w:val="single"/>
          <w:lang w:val="en-US" w:eastAsia="zh-CN"/>
        </w:rPr>
        <w:t>80</w:t>
      </w:r>
      <w:r>
        <w:rPr>
          <w:rFonts w:hint="eastAsia" w:ascii="宋体" w:hAnsi="宋体" w:cs="仿宋_GB2312"/>
          <w:kern w:val="0"/>
          <w:szCs w:val="21"/>
        </w:rPr>
        <w:t>分，其他</w:t>
      </w:r>
      <w:r>
        <w:rPr>
          <w:rFonts w:hint="eastAsia" w:ascii="宋体" w:hAnsi="宋体" w:cs="仿宋_GB2312"/>
          <w:kern w:val="0"/>
          <w:szCs w:val="21"/>
          <w:u w:val="single"/>
          <w:lang w:val="en-US" w:eastAsia="zh-CN"/>
        </w:rPr>
        <w:t>2</w:t>
      </w:r>
      <w:r>
        <w:rPr>
          <w:rFonts w:hint="eastAsia" w:ascii="宋体" w:hAnsi="宋体" w:cs="仿宋_GB2312"/>
          <w:kern w:val="0"/>
          <w:szCs w:val="21"/>
          <w:u w:val="single"/>
        </w:rPr>
        <w:t>0</w:t>
      </w:r>
      <w:r>
        <w:rPr>
          <w:rFonts w:hint="eastAsia" w:ascii="宋体" w:hAnsi="宋体" w:cs="仿宋_GB2312"/>
          <w:kern w:val="0"/>
          <w:szCs w:val="21"/>
        </w:rPr>
        <w:t>分。</w:t>
      </w: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2.2</w:t>
      </w:r>
      <w:r>
        <w:rPr>
          <w:rFonts w:hint="eastAsia" w:ascii="宋体" w:hAnsi="宋体" w:cs="TimesNewRomanPSMT"/>
          <w:szCs w:val="21"/>
        </w:rPr>
        <w:t>计价方式：</w:t>
      </w:r>
      <w:r>
        <w:rPr>
          <w:rFonts w:hint="eastAsia" w:ascii="宋体" w:hAnsi="宋体" w:cs="TimesNewRomanPSMT"/>
          <w:b/>
          <w:bCs/>
          <w:color w:val="FF0000"/>
          <w:szCs w:val="21"/>
          <w:u w:val="single"/>
        </w:rPr>
        <w:t>审计结算价*中标报价费率</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kern w:val="0"/>
          <w:szCs w:val="21"/>
        </w:rPr>
        <w:t>本工程涉及到的</w:t>
      </w:r>
      <w:r>
        <w:rPr>
          <w:rFonts w:hint="eastAsia" w:ascii="宋体" w:hAnsi="宋体" w:cs="TimesNewRomanPSMT"/>
          <w:b/>
          <w:bCs/>
          <w:color w:val="FF0000"/>
          <w:kern w:val="0"/>
          <w:sz w:val="21"/>
          <w:szCs w:val="21"/>
          <w:u w:val="single"/>
          <w:lang w:val="en-US" w:eastAsia="zh-CN"/>
        </w:rPr>
        <w:t>地砖</w:t>
      </w:r>
      <w:r>
        <w:rPr>
          <w:rFonts w:hint="eastAsia" w:ascii="宋体" w:hAnsi="宋体" w:cs="TimesNewRomanPSMT"/>
          <w:b/>
          <w:bCs/>
          <w:color w:val="FF0000"/>
          <w:kern w:val="0"/>
          <w:sz w:val="21"/>
          <w:szCs w:val="21"/>
          <w:u w:val="single"/>
        </w:rPr>
        <w:t>、</w:t>
      </w:r>
      <w:r>
        <w:rPr>
          <w:rFonts w:hint="eastAsia" w:ascii="宋体" w:hAnsi="宋体" w:cs="TimesNewRomanPSMT"/>
          <w:b/>
          <w:bCs/>
          <w:color w:val="FF0000"/>
          <w:kern w:val="0"/>
          <w:sz w:val="21"/>
          <w:szCs w:val="21"/>
          <w:u w:val="single"/>
          <w:lang w:val="en-US" w:eastAsia="zh-CN"/>
        </w:rPr>
        <w:t>墙砖、地毯、</w:t>
      </w:r>
      <w:r>
        <w:rPr>
          <w:rFonts w:hint="eastAsia" w:ascii="宋体" w:hAnsi="宋体" w:cs="TimesNewRomanPSMT"/>
          <w:b/>
          <w:bCs/>
          <w:color w:val="FF0000"/>
          <w:kern w:val="0"/>
          <w:sz w:val="21"/>
          <w:szCs w:val="21"/>
          <w:u w:val="single"/>
        </w:rPr>
        <w:t>木饰面、</w:t>
      </w:r>
      <w:r>
        <w:rPr>
          <w:rFonts w:hint="eastAsia" w:ascii="宋体" w:hAnsi="宋体" w:cs="TimesNewRomanPSMT"/>
          <w:b/>
          <w:bCs/>
          <w:color w:val="FF0000"/>
          <w:kern w:val="0"/>
          <w:sz w:val="21"/>
          <w:szCs w:val="21"/>
          <w:u w:val="single"/>
          <w:lang w:val="en-US" w:eastAsia="zh-CN"/>
        </w:rPr>
        <w:t>成品木门、五金</w:t>
      </w:r>
      <w:r>
        <w:rPr>
          <w:rFonts w:hint="eastAsia" w:ascii="宋体" w:hAnsi="宋体" w:cs="TimesNewRomanPSMT"/>
          <w:b/>
          <w:bCs/>
          <w:color w:val="FF0000"/>
          <w:kern w:val="0"/>
          <w:sz w:val="21"/>
          <w:szCs w:val="21"/>
          <w:u w:val="single"/>
        </w:rPr>
        <w:t>、家具、隔断、成品定制柜、窗帘、空调、智能化设备、涂料等等</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月进度</w:t>
      </w:r>
      <w:r>
        <w:rPr>
          <w:rFonts w:hint="eastAsia" w:ascii="宋体" w:hAnsi="宋体" w:cs="宋体"/>
          <w:b/>
          <w:color w:val="FF0000"/>
          <w:kern w:val="2"/>
          <w:sz w:val="21"/>
          <w:szCs w:val="21"/>
          <w:u w:val="none"/>
        </w:rPr>
        <w:t>工程完工支付至实际完成工程量的60%，竣工验收支付至实际完成工程量的75%，审计完成支付至审计价的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须承诺旧馆卫生院项目按照评飞英杯工程奖的标准展开施工），中标人承诺将严格按照要求组织施工，直至工程验收合格并交付为止，否则由此对招标人造成的一切责任和损失由中标人承担。</w:t>
      </w:r>
    </w:p>
    <w:p>
      <w:pPr>
        <w:pStyle w:val="2"/>
        <w:ind w:left="63"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14天内向招标人提供完整的工程进度计划和材料采购计划，中标人须确保涉及工程须使用的材料于该项工程（工作）开始前20天提供完整的书面采购计划给招标人，否则由此造成的工程延期责任由中标人承担。</w:t>
      </w:r>
    </w:p>
    <w:p>
      <w:pPr>
        <w:pStyle w:val="2"/>
        <w:ind w:left="0" w:leftChars="0" w:right="63"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投标人一旦中标后，服从甲方管理，全力配合甲方完成招标范围内的全部施工内容及其它相应内容，直至消防竣工验收完成。投标人在投标报价是须充分考虑此项费用，实际发生时不予额外计量。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jc w:val="left"/>
        <w:rPr>
          <w:rFonts w:ascii="宋体" w:hAnsi="宋体" w:cs="TimesNewRomanPSMT"/>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6" w:name="投标文件格式"/>
      <w:r>
        <w:rPr>
          <w:rFonts w:hint="eastAsia" w:ascii="宋体" w:hAnsi="宋体" w:cs="黑体"/>
          <w:b/>
          <w:kern w:val="0"/>
          <w:szCs w:val="21"/>
        </w:rPr>
        <w:t>投标文件</w:t>
      </w:r>
      <w:bookmarkEnd w:id="46"/>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宋体"/>
          <w:kern w:val="0"/>
          <w:szCs w:val="21"/>
        </w:rPr>
      </w:pPr>
      <w:r>
        <w:rPr>
          <w:rFonts w:hint="eastAsia"/>
          <w:szCs w:val="21"/>
          <w:lang w:val="en-US" w:eastAsia="zh-CN"/>
        </w:rPr>
        <w:t>五、</w:t>
      </w:r>
      <w:r>
        <w:rPr>
          <w:rFonts w:hint="eastAsia"/>
          <w:szCs w:val="21"/>
        </w:rPr>
        <w:t>《工程量清单</w:t>
      </w:r>
      <w:r>
        <w:rPr>
          <w:rFonts w:hint="eastAsia" w:ascii="宋体" w:hAnsi="宋体" w:cs="宋体"/>
          <w:kern w:val="0"/>
          <w:szCs w:val="21"/>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《施工方案》</w:t>
      </w:r>
    </w:p>
    <w:p>
      <w:pPr>
        <w:spacing w:line="360" w:lineRule="auto"/>
        <w:jc w:val="left"/>
        <w:rPr>
          <w:rFonts w:hint="eastAsia" w:ascii="宋体" w:hAnsi="宋体" w:cs="仿宋_GB2312"/>
          <w:kern w:val="0"/>
          <w:szCs w:val="21"/>
        </w:rPr>
      </w:pPr>
      <w:r>
        <w:rPr>
          <w:rFonts w:hint="eastAsia" w:ascii="宋体" w:hAnsi="宋体" w:cs="仿宋_GB2312"/>
          <w:color w:val="FF0000"/>
          <w:kern w:val="0"/>
          <w:szCs w:val="21"/>
          <w:lang w:val="en-US" w:eastAsia="zh-CN"/>
        </w:rPr>
        <w:t>七、</w:t>
      </w:r>
      <w:r>
        <w:rPr>
          <w:rFonts w:hint="eastAsia" w:ascii="宋体" w:hAnsi="宋体" w:cs="仿宋_GB2312"/>
          <w:kern w:val="0"/>
          <w:szCs w:val="21"/>
        </w:rPr>
        <w:t>《业绩情况》</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八、</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九、</w:t>
      </w:r>
      <w:r>
        <w:rPr>
          <w:rFonts w:hint="eastAsia" w:ascii="宋体" w:hAnsi="宋体" w:cs="仿宋_GB2312"/>
          <w:kern w:val="0"/>
          <w:szCs w:val="21"/>
        </w:rPr>
        <w:t>《项目管理组织机构》</w:t>
      </w:r>
    </w:p>
    <w:p>
      <w:pPr>
        <w:rPr>
          <w:rFonts w:ascii="仿宋" w:hAnsi="仿宋" w:eastAsia="仿宋"/>
          <w:sz w:val="32"/>
          <w:szCs w:val="32"/>
        </w:rPr>
      </w:pPr>
    </w:p>
    <w:p>
      <w:pPr>
        <w:rPr>
          <w:rFonts w:ascii="仿宋" w:hAnsi="仿宋" w:eastAsia="仿宋"/>
          <w:sz w:val="32"/>
          <w:szCs w:val="32"/>
        </w:rPr>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bookmarkStart w:id="47" w:name="_GoBack"/>
      <w:bookmarkEnd w:id="47"/>
    </w:p>
    <w:p>
      <w:pPr>
        <w:spacing w:line="360" w:lineRule="auto"/>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7"/>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1"/>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jc w:val="right"/>
      <w:rPr>
        <w:rStyle w:val="13"/>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8D898"/>
    <w:multiLevelType w:val="singleLevel"/>
    <w:tmpl w:val="58C8D89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555A6F"/>
    <w:rsid w:val="02E749BB"/>
    <w:rsid w:val="032D0193"/>
    <w:rsid w:val="03676E56"/>
    <w:rsid w:val="03A00125"/>
    <w:rsid w:val="043A0533"/>
    <w:rsid w:val="04573C41"/>
    <w:rsid w:val="0462666F"/>
    <w:rsid w:val="047A724B"/>
    <w:rsid w:val="04A27AD6"/>
    <w:rsid w:val="04DA4E56"/>
    <w:rsid w:val="04EB7E87"/>
    <w:rsid w:val="05124135"/>
    <w:rsid w:val="052D6729"/>
    <w:rsid w:val="05BF6198"/>
    <w:rsid w:val="07870DD4"/>
    <w:rsid w:val="07933142"/>
    <w:rsid w:val="08687625"/>
    <w:rsid w:val="08785560"/>
    <w:rsid w:val="08D46119"/>
    <w:rsid w:val="09451A80"/>
    <w:rsid w:val="099F3E40"/>
    <w:rsid w:val="09CF5737"/>
    <w:rsid w:val="0A5A5EBE"/>
    <w:rsid w:val="0AAC6BE4"/>
    <w:rsid w:val="0AB32181"/>
    <w:rsid w:val="0AB61377"/>
    <w:rsid w:val="0ADE2021"/>
    <w:rsid w:val="0AE66846"/>
    <w:rsid w:val="0B4A311D"/>
    <w:rsid w:val="0BA056F7"/>
    <w:rsid w:val="0BAF2250"/>
    <w:rsid w:val="0C715A9F"/>
    <w:rsid w:val="0CA72033"/>
    <w:rsid w:val="0CB57E44"/>
    <w:rsid w:val="0D00419D"/>
    <w:rsid w:val="0D060ACA"/>
    <w:rsid w:val="0D1E7589"/>
    <w:rsid w:val="0D2C79B1"/>
    <w:rsid w:val="0DA10CD9"/>
    <w:rsid w:val="0DAA3778"/>
    <w:rsid w:val="0DC937C0"/>
    <w:rsid w:val="0DDE73FA"/>
    <w:rsid w:val="0E703A00"/>
    <w:rsid w:val="0ED9012F"/>
    <w:rsid w:val="0EE11F93"/>
    <w:rsid w:val="0F062706"/>
    <w:rsid w:val="0F07103E"/>
    <w:rsid w:val="0F2E3A4B"/>
    <w:rsid w:val="0FA00107"/>
    <w:rsid w:val="10163297"/>
    <w:rsid w:val="10B412E9"/>
    <w:rsid w:val="11151C5F"/>
    <w:rsid w:val="11342AE3"/>
    <w:rsid w:val="11547BE0"/>
    <w:rsid w:val="11E20196"/>
    <w:rsid w:val="122C41A2"/>
    <w:rsid w:val="1260013F"/>
    <w:rsid w:val="12C90B50"/>
    <w:rsid w:val="13745BA1"/>
    <w:rsid w:val="149B3D57"/>
    <w:rsid w:val="14BD4BDD"/>
    <w:rsid w:val="14DD050E"/>
    <w:rsid w:val="14F711DC"/>
    <w:rsid w:val="15461AA9"/>
    <w:rsid w:val="1546360D"/>
    <w:rsid w:val="15A47628"/>
    <w:rsid w:val="15DF0493"/>
    <w:rsid w:val="1636706C"/>
    <w:rsid w:val="16661441"/>
    <w:rsid w:val="16692D06"/>
    <w:rsid w:val="16C0024D"/>
    <w:rsid w:val="17193619"/>
    <w:rsid w:val="172B78C9"/>
    <w:rsid w:val="1766153D"/>
    <w:rsid w:val="177D0DF0"/>
    <w:rsid w:val="178D7750"/>
    <w:rsid w:val="17FC683D"/>
    <w:rsid w:val="18367CDA"/>
    <w:rsid w:val="191C650D"/>
    <w:rsid w:val="19C26E47"/>
    <w:rsid w:val="1A377E4D"/>
    <w:rsid w:val="1A761E92"/>
    <w:rsid w:val="1A8643C5"/>
    <w:rsid w:val="1A8804E1"/>
    <w:rsid w:val="1ABE2171"/>
    <w:rsid w:val="1B7431C3"/>
    <w:rsid w:val="1BA96FBE"/>
    <w:rsid w:val="1BC70C49"/>
    <w:rsid w:val="1BF965A1"/>
    <w:rsid w:val="1C133FA6"/>
    <w:rsid w:val="1C3800B2"/>
    <w:rsid w:val="1C5B3FD4"/>
    <w:rsid w:val="1C811351"/>
    <w:rsid w:val="1C97489E"/>
    <w:rsid w:val="1C9F69B8"/>
    <w:rsid w:val="1CD70817"/>
    <w:rsid w:val="1CDA4153"/>
    <w:rsid w:val="1D8E30F7"/>
    <w:rsid w:val="1EF403AD"/>
    <w:rsid w:val="1F207B44"/>
    <w:rsid w:val="1FA03DAE"/>
    <w:rsid w:val="1FAA3C18"/>
    <w:rsid w:val="1FED51FB"/>
    <w:rsid w:val="203D5C7A"/>
    <w:rsid w:val="204F4146"/>
    <w:rsid w:val="20CC075D"/>
    <w:rsid w:val="210B711D"/>
    <w:rsid w:val="217A2E8F"/>
    <w:rsid w:val="21AD2AA9"/>
    <w:rsid w:val="22B34C3F"/>
    <w:rsid w:val="23073830"/>
    <w:rsid w:val="243E2265"/>
    <w:rsid w:val="2472448D"/>
    <w:rsid w:val="252400AA"/>
    <w:rsid w:val="25BB1B2D"/>
    <w:rsid w:val="25DE77BD"/>
    <w:rsid w:val="25EC2C8E"/>
    <w:rsid w:val="2648468A"/>
    <w:rsid w:val="27225448"/>
    <w:rsid w:val="27266761"/>
    <w:rsid w:val="2746156A"/>
    <w:rsid w:val="278D5A4A"/>
    <w:rsid w:val="280B7FEB"/>
    <w:rsid w:val="28450F6C"/>
    <w:rsid w:val="284C16B1"/>
    <w:rsid w:val="28577024"/>
    <w:rsid w:val="28A66FD2"/>
    <w:rsid w:val="29081179"/>
    <w:rsid w:val="2926030A"/>
    <w:rsid w:val="298D54E1"/>
    <w:rsid w:val="29912B2A"/>
    <w:rsid w:val="29933E95"/>
    <w:rsid w:val="2A610E88"/>
    <w:rsid w:val="2AF77B9D"/>
    <w:rsid w:val="2AFB52E4"/>
    <w:rsid w:val="2B040840"/>
    <w:rsid w:val="2B2733B9"/>
    <w:rsid w:val="2B297FDE"/>
    <w:rsid w:val="2B2E699C"/>
    <w:rsid w:val="2B797A36"/>
    <w:rsid w:val="2C023541"/>
    <w:rsid w:val="2C2C542E"/>
    <w:rsid w:val="2C7173E0"/>
    <w:rsid w:val="2C8E4D82"/>
    <w:rsid w:val="2CD03054"/>
    <w:rsid w:val="2D3C001D"/>
    <w:rsid w:val="2D505B75"/>
    <w:rsid w:val="2D7E320A"/>
    <w:rsid w:val="2DD122C7"/>
    <w:rsid w:val="2E085135"/>
    <w:rsid w:val="2E5C0F57"/>
    <w:rsid w:val="2E784EE0"/>
    <w:rsid w:val="2EC921D2"/>
    <w:rsid w:val="2EE66A28"/>
    <w:rsid w:val="2F244316"/>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7B512E"/>
    <w:rsid w:val="31F34B0C"/>
    <w:rsid w:val="32293DF3"/>
    <w:rsid w:val="329C70DF"/>
    <w:rsid w:val="33352B46"/>
    <w:rsid w:val="336A45BE"/>
    <w:rsid w:val="33D93647"/>
    <w:rsid w:val="33E24E2C"/>
    <w:rsid w:val="33F3561C"/>
    <w:rsid w:val="33F4138D"/>
    <w:rsid w:val="34B93D28"/>
    <w:rsid w:val="34C67B9A"/>
    <w:rsid w:val="34E300BF"/>
    <w:rsid w:val="35530BF6"/>
    <w:rsid w:val="360D6341"/>
    <w:rsid w:val="37727DA2"/>
    <w:rsid w:val="37BC4D26"/>
    <w:rsid w:val="37C2711A"/>
    <w:rsid w:val="3822589D"/>
    <w:rsid w:val="38761F63"/>
    <w:rsid w:val="394E7DD5"/>
    <w:rsid w:val="396A5DF5"/>
    <w:rsid w:val="39734A06"/>
    <w:rsid w:val="39A8483F"/>
    <w:rsid w:val="39CB45BD"/>
    <w:rsid w:val="39FC39DC"/>
    <w:rsid w:val="3A0F0192"/>
    <w:rsid w:val="3A451C64"/>
    <w:rsid w:val="3A6A62BD"/>
    <w:rsid w:val="3AF10675"/>
    <w:rsid w:val="3B6D0AC3"/>
    <w:rsid w:val="3D2C178A"/>
    <w:rsid w:val="3D6067DA"/>
    <w:rsid w:val="3DD570E9"/>
    <w:rsid w:val="3E0747AF"/>
    <w:rsid w:val="3E1A638D"/>
    <w:rsid w:val="3EB1152D"/>
    <w:rsid w:val="3F3C3A0D"/>
    <w:rsid w:val="3FCD4482"/>
    <w:rsid w:val="3FD203D8"/>
    <w:rsid w:val="3FDA2369"/>
    <w:rsid w:val="3FF85F20"/>
    <w:rsid w:val="40212731"/>
    <w:rsid w:val="402772FD"/>
    <w:rsid w:val="406A0379"/>
    <w:rsid w:val="41231EC9"/>
    <w:rsid w:val="423C377E"/>
    <w:rsid w:val="437012D3"/>
    <w:rsid w:val="437A2EB2"/>
    <w:rsid w:val="442C5A9F"/>
    <w:rsid w:val="4438633C"/>
    <w:rsid w:val="443C5FEA"/>
    <w:rsid w:val="44500D2A"/>
    <w:rsid w:val="44F7272B"/>
    <w:rsid w:val="45657083"/>
    <w:rsid w:val="456617F3"/>
    <w:rsid w:val="45B10D60"/>
    <w:rsid w:val="45CC74A1"/>
    <w:rsid w:val="4640722E"/>
    <w:rsid w:val="464F5C1E"/>
    <w:rsid w:val="46881C02"/>
    <w:rsid w:val="46AB7B44"/>
    <w:rsid w:val="46F7316C"/>
    <w:rsid w:val="470F4577"/>
    <w:rsid w:val="4752442F"/>
    <w:rsid w:val="475E748F"/>
    <w:rsid w:val="47901A9F"/>
    <w:rsid w:val="47922799"/>
    <w:rsid w:val="47D97FC7"/>
    <w:rsid w:val="480F276E"/>
    <w:rsid w:val="48613C38"/>
    <w:rsid w:val="48C30900"/>
    <w:rsid w:val="49AB468B"/>
    <w:rsid w:val="4A600199"/>
    <w:rsid w:val="4BE50202"/>
    <w:rsid w:val="4CC625AA"/>
    <w:rsid w:val="4D1F409E"/>
    <w:rsid w:val="4D6F1D0C"/>
    <w:rsid w:val="4D755439"/>
    <w:rsid w:val="4DBC074D"/>
    <w:rsid w:val="4DC73A64"/>
    <w:rsid w:val="4DE60D42"/>
    <w:rsid w:val="4E69264D"/>
    <w:rsid w:val="4EFB7579"/>
    <w:rsid w:val="4F0931EA"/>
    <w:rsid w:val="4F676E75"/>
    <w:rsid w:val="50484332"/>
    <w:rsid w:val="505D1263"/>
    <w:rsid w:val="50E10D0C"/>
    <w:rsid w:val="51564AF1"/>
    <w:rsid w:val="51EC3B57"/>
    <w:rsid w:val="51F5100B"/>
    <w:rsid w:val="522D1344"/>
    <w:rsid w:val="528A7AE7"/>
    <w:rsid w:val="529A2FFC"/>
    <w:rsid w:val="53832185"/>
    <w:rsid w:val="53920CEE"/>
    <w:rsid w:val="543812D4"/>
    <w:rsid w:val="55662A4C"/>
    <w:rsid w:val="55F33201"/>
    <w:rsid w:val="560F30B7"/>
    <w:rsid w:val="563E6EEB"/>
    <w:rsid w:val="56737795"/>
    <w:rsid w:val="56AB1218"/>
    <w:rsid w:val="56BC578B"/>
    <w:rsid w:val="57255C57"/>
    <w:rsid w:val="57C12963"/>
    <w:rsid w:val="57DC33A1"/>
    <w:rsid w:val="586303D1"/>
    <w:rsid w:val="588501DB"/>
    <w:rsid w:val="58DA7D32"/>
    <w:rsid w:val="58E30090"/>
    <w:rsid w:val="59370951"/>
    <w:rsid w:val="594611C8"/>
    <w:rsid w:val="599855CB"/>
    <w:rsid w:val="59AC7755"/>
    <w:rsid w:val="59D35FCF"/>
    <w:rsid w:val="59E27657"/>
    <w:rsid w:val="59E618A3"/>
    <w:rsid w:val="5A03560E"/>
    <w:rsid w:val="5A3857B2"/>
    <w:rsid w:val="5A8D6E22"/>
    <w:rsid w:val="5B170EC1"/>
    <w:rsid w:val="5B523BA8"/>
    <w:rsid w:val="5B9073F7"/>
    <w:rsid w:val="5C084785"/>
    <w:rsid w:val="5C2C1905"/>
    <w:rsid w:val="5C756A96"/>
    <w:rsid w:val="5CF76BF4"/>
    <w:rsid w:val="5D2C444A"/>
    <w:rsid w:val="5D320FCB"/>
    <w:rsid w:val="5D525483"/>
    <w:rsid w:val="5D6A11C4"/>
    <w:rsid w:val="5DA12F2E"/>
    <w:rsid w:val="5DAE13CF"/>
    <w:rsid w:val="5DCD250B"/>
    <w:rsid w:val="5DDC456A"/>
    <w:rsid w:val="5E4279B3"/>
    <w:rsid w:val="5E57556F"/>
    <w:rsid w:val="5E6A285E"/>
    <w:rsid w:val="5E7078F9"/>
    <w:rsid w:val="5E711CDA"/>
    <w:rsid w:val="5E781148"/>
    <w:rsid w:val="5E8848F0"/>
    <w:rsid w:val="5EA83096"/>
    <w:rsid w:val="5F3A110B"/>
    <w:rsid w:val="5F544ADE"/>
    <w:rsid w:val="5FC0322F"/>
    <w:rsid w:val="5FD37C5B"/>
    <w:rsid w:val="606D64A0"/>
    <w:rsid w:val="612753A8"/>
    <w:rsid w:val="61347170"/>
    <w:rsid w:val="619E2C47"/>
    <w:rsid w:val="61A27AD0"/>
    <w:rsid w:val="62467775"/>
    <w:rsid w:val="628A613F"/>
    <w:rsid w:val="62CC2286"/>
    <w:rsid w:val="63365241"/>
    <w:rsid w:val="63613D1C"/>
    <w:rsid w:val="63D52DC3"/>
    <w:rsid w:val="63EE2185"/>
    <w:rsid w:val="64130890"/>
    <w:rsid w:val="64144701"/>
    <w:rsid w:val="64474BA2"/>
    <w:rsid w:val="64DA205C"/>
    <w:rsid w:val="657151FB"/>
    <w:rsid w:val="65CA5EB8"/>
    <w:rsid w:val="66444926"/>
    <w:rsid w:val="668A54E2"/>
    <w:rsid w:val="66B81965"/>
    <w:rsid w:val="66EE52A3"/>
    <w:rsid w:val="671B2005"/>
    <w:rsid w:val="675020B8"/>
    <w:rsid w:val="679A55A8"/>
    <w:rsid w:val="68105AAB"/>
    <w:rsid w:val="689322AD"/>
    <w:rsid w:val="68D9424D"/>
    <w:rsid w:val="692D1F13"/>
    <w:rsid w:val="693A030E"/>
    <w:rsid w:val="693E4DC3"/>
    <w:rsid w:val="6A0D0E38"/>
    <w:rsid w:val="6ABA4B0F"/>
    <w:rsid w:val="6B2B2B84"/>
    <w:rsid w:val="6C7B2A22"/>
    <w:rsid w:val="6CDD11CD"/>
    <w:rsid w:val="6CE05267"/>
    <w:rsid w:val="6CE40271"/>
    <w:rsid w:val="6D556F64"/>
    <w:rsid w:val="6D9F74C0"/>
    <w:rsid w:val="6DE33D6B"/>
    <w:rsid w:val="6E5C208F"/>
    <w:rsid w:val="6EB1189B"/>
    <w:rsid w:val="6F055553"/>
    <w:rsid w:val="6FE724EF"/>
    <w:rsid w:val="70694A66"/>
    <w:rsid w:val="706B4B17"/>
    <w:rsid w:val="70801458"/>
    <w:rsid w:val="70C94A80"/>
    <w:rsid w:val="713A5025"/>
    <w:rsid w:val="71680B0F"/>
    <w:rsid w:val="71F95237"/>
    <w:rsid w:val="72CF0E9B"/>
    <w:rsid w:val="733A35E5"/>
    <w:rsid w:val="73557AEB"/>
    <w:rsid w:val="737F302F"/>
    <w:rsid w:val="739F6EDB"/>
    <w:rsid w:val="73F522EE"/>
    <w:rsid w:val="74271298"/>
    <w:rsid w:val="748962D3"/>
    <w:rsid w:val="75322E1E"/>
    <w:rsid w:val="75BF0392"/>
    <w:rsid w:val="75FA5640"/>
    <w:rsid w:val="761F46F4"/>
    <w:rsid w:val="76C0056C"/>
    <w:rsid w:val="76F43E80"/>
    <w:rsid w:val="76FD1966"/>
    <w:rsid w:val="774A57ED"/>
    <w:rsid w:val="77737FCB"/>
    <w:rsid w:val="784E71DF"/>
    <w:rsid w:val="785A6DAA"/>
    <w:rsid w:val="789E6EBD"/>
    <w:rsid w:val="78C20EA8"/>
    <w:rsid w:val="790B6D58"/>
    <w:rsid w:val="79291E78"/>
    <w:rsid w:val="79AF1C6D"/>
    <w:rsid w:val="79CC6A81"/>
    <w:rsid w:val="7A2F1CB5"/>
    <w:rsid w:val="7AA179F0"/>
    <w:rsid w:val="7AA8278C"/>
    <w:rsid w:val="7AE84FBC"/>
    <w:rsid w:val="7AF761D9"/>
    <w:rsid w:val="7B320699"/>
    <w:rsid w:val="7BD27F57"/>
    <w:rsid w:val="7C1266C5"/>
    <w:rsid w:val="7C84703D"/>
    <w:rsid w:val="7CB53C71"/>
    <w:rsid w:val="7CB63B55"/>
    <w:rsid w:val="7CBC31DA"/>
    <w:rsid w:val="7D2E1A4A"/>
    <w:rsid w:val="7D846C0E"/>
    <w:rsid w:val="7D963331"/>
    <w:rsid w:val="7D9C539A"/>
    <w:rsid w:val="7DB55021"/>
    <w:rsid w:val="7E1259A1"/>
    <w:rsid w:val="7EEC1F1A"/>
    <w:rsid w:val="7EF121CF"/>
    <w:rsid w:val="7F3A4641"/>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1"/>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Normal Indent"/>
    <w:basedOn w:val="1"/>
    <w:unhideWhenUsed/>
    <w:qFormat/>
    <w:uiPriority w:val="99"/>
    <w:pPr>
      <w:ind w:firstLine="420"/>
    </w:pPr>
    <w:rPr>
      <w:szCs w:val="20"/>
    </w:rPr>
  </w:style>
  <w:style w:type="paragraph" w:styleId="6">
    <w:name w:val="annotation text"/>
    <w:basedOn w:val="1"/>
    <w:link w:val="18"/>
    <w:semiHidden/>
    <w:qFormat/>
    <w:uiPriority w:val="0"/>
    <w:pPr>
      <w:jc w:val="left"/>
    </w:pPr>
    <w:rPr>
      <w:rFonts w:ascii="Arial" w:hAnsi="Arial" w:cs="Arial"/>
    </w:rPr>
  </w:style>
  <w:style w:type="paragraph" w:styleId="7">
    <w:name w:val="Body Text Indent"/>
    <w:basedOn w:val="1"/>
    <w:link w:val="22"/>
    <w:qFormat/>
    <w:uiPriority w:val="0"/>
    <w:pPr>
      <w:tabs>
        <w:tab w:val="left" w:pos="7060"/>
      </w:tabs>
      <w:spacing w:line="360" w:lineRule="auto"/>
      <w:ind w:firstLine="560" w:firstLineChars="200"/>
    </w:pPr>
    <w:rPr>
      <w:rFonts w:eastAsia="新宋体"/>
      <w:sz w:val="28"/>
    </w:rPr>
  </w:style>
  <w:style w:type="paragraph" w:styleId="8">
    <w:name w:val="Balloon Text"/>
    <w:basedOn w:val="1"/>
    <w:link w:val="23"/>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99"/>
    <w:rPr>
      <w:rFonts w:cs="Times New Roman"/>
    </w:rPr>
  </w:style>
  <w:style w:type="character" w:styleId="14">
    <w:name w:val="FollowedHyperlink"/>
    <w:basedOn w:val="12"/>
    <w:unhideWhenUsed/>
    <w:qFormat/>
    <w:uiPriority w:val="99"/>
    <w:rPr>
      <w:color w:val="800080" w:themeColor="followedHyperlink"/>
      <w:u w:val="single"/>
    </w:rPr>
  </w:style>
  <w:style w:type="character" w:styleId="15">
    <w:name w:val="Hyperlink"/>
    <w:qFormat/>
    <w:uiPriority w:val="0"/>
    <w:rPr>
      <w:color w:val="0000FF"/>
      <w:u w:val="single"/>
    </w:rPr>
  </w:style>
  <w:style w:type="paragraph" w:customStyle="1" w:styleId="16">
    <w:name w:val="Char"/>
    <w:basedOn w:val="1"/>
    <w:qFormat/>
    <w:uiPriority w:val="0"/>
    <w:pPr>
      <w:adjustRightInd w:val="0"/>
      <w:snapToGrid w:val="0"/>
    </w:pPr>
    <w:rPr>
      <w:szCs w:val="20"/>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批注文字 Char"/>
    <w:basedOn w:val="12"/>
    <w:link w:val="6"/>
    <w:semiHidden/>
    <w:qFormat/>
    <w:uiPriority w:val="0"/>
    <w:rPr>
      <w:rFonts w:ascii="Arial" w:hAnsi="Arial" w:eastAsia="宋体" w:cs="Arial"/>
      <w:szCs w:val="24"/>
    </w:rPr>
  </w:style>
  <w:style w:type="character" w:customStyle="1" w:styleId="19">
    <w:name w:val="页眉 Char"/>
    <w:basedOn w:val="12"/>
    <w:link w:val="10"/>
    <w:qFormat/>
    <w:uiPriority w:val="99"/>
    <w:rPr>
      <w:rFonts w:ascii="Times New Roman" w:hAnsi="Times New Roman" w:eastAsia="宋体" w:cs="Times New Roman"/>
      <w:sz w:val="18"/>
      <w:szCs w:val="18"/>
    </w:rPr>
  </w:style>
  <w:style w:type="character" w:customStyle="1" w:styleId="20">
    <w:name w:val="页脚 Char"/>
    <w:basedOn w:val="12"/>
    <w:link w:val="9"/>
    <w:qFormat/>
    <w:uiPriority w:val="99"/>
    <w:rPr>
      <w:rFonts w:ascii="Times New Roman" w:hAnsi="Times New Roman" w:eastAsia="宋体" w:cs="Times New Roman"/>
      <w:sz w:val="18"/>
      <w:szCs w:val="18"/>
    </w:rPr>
  </w:style>
  <w:style w:type="character" w:customStyle="1" w:styleId="21">
    <w:name w:val="标题 3 Char"/>
    <w:basedOn w:val="12"/>
    <w:link w:val="4"/>
    <w:qFormat/>
    <w:uiPriority w:val="0"/>
    <w:rPr>
      <w:rFonts w:ascii="Times New Roman" w:hAnsi="Times New Roman" w:eastAsia="宋体" w:cs="Times New Roman"/>
      <w:b/>
      <w:bCs/>
      <w:sz w:val="32"/>
      <w:szCs w:val="32"/>
    </w:rPr>
  </w:style>
  <w:style w:type="character" w:customStyle="1" w:styleId="22">
    <w:name w:val="正文文本缩进 Char"/>
    <w:basedOn w:val="12"/>
    <w:link w:val="7"/>
    <w:qFormat/>
    <w:uiPriority w:val="0"/>
    <w:rPr>
      <w:rFonts w:ascii="Times New Roman" w:hAnsi="Times New Roman" w:eastAsia="新宋体" w:cs="Times New Roman"/>
      <w:sz w:val="28"/>
      <w:szCs w:val="24"/>
    </w:rPr>
  </w:style>
  <w:style w:type="character" w:customStyle="1" w:styleId="23">
    <w:name w:val="批注框文本 Char"/>
    <w:basedOn w:val="12"/>
    <w:link w:val="8"/>
    <w:semiHidden/>
    <w:qFormat/>
    <w:uiPriority w:val="99"/>
    <w:rPr>
      <w:rFonts w:ascii="Times New Roman" w:hAnsi="Times New Roman" w:eastAsia="宋体" w:cs="Times New Roman"/>
      <w:sz w:val="18"/>
      <w:szCs w:val="18"/>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1726</Words>
  <Characters>9842</Characters>
  <Lines>82</Lines>
  <Paragraphs>23</Paragraphs>
  <TotalTime>0</TotalTime>
  <ScaleCrop>false</ScaleCrop>
  <LinksUpToDate>false</LinksUpToDate>
  <CharactersWithSpaces>11545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2021-05-09T05:09:00Z</cp:lastPrinted>
  <dcterms:modified xsi:type="dcterms:W3CDTF">2021-06-02T07:04:21Z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6C7A591E7EB7451AB1F76F941FD7FC59</vt:lpwstr>
  </property>
</Properties>
</file>