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南浔沈庄漾农民新村联排土建工程</w:t>
      </w: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hint="eastAsia"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黑体"/>
          <w:b/>
          <w:color w:val="FF0000"/>
          <w:kern w:val="0"/>
          <w:szCs w:val="21"/>
          <w:u w:val="single"/>
          <w:lang w:val="en-US" w:eastAsia="zh-CN"/>
        </w:rPr>
        <w:t xml:space="preserve"> </w:t>
      </w:r>
      <w:r>
        <w:rPr>
          <w:rFonts w:hint="eastAsia" w:ascii="宋体" w:hAnsi="宋体" w:cs="宋体"/>
          <w:color w:val="FF0000"/>
          <w:kern w:val="0"/>
          <w:szCs w:val="21"/>
          <w:u w:val="single"/>
          <w:lang w:val="en-US" w:eastAsia="zh-CN"/>
        </w:rPr>
        <w:t>南浔沈庄漾农民新村联排土建工程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kern w:val="0"/>
          <w:szCs w:val="21"/>
          <w:lang w:val="en-US" w:eastAsia="zh-CN"/>
        </w:rPr>
        <w:t>进行</w:t>
      </w:r>
      <w:r>
        <w:rPr>
          <w:rFonts w:hint="eastAsia" w:ascii="宋体" w:hAnsi="宋体" w:cs="宋体"/>
          <w:color w:val="000000"/>
          <w:szCs w:val="21"/>
        </w:rPr>
        <w:t>招标确定投标人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hint="eastAsia" w:ascii="宋体" w:hAnsi="宋体" w:cs="宋体"/>
          <w:color w:val="FF0000"/>
          <w:kern w:val="0"/>
          <w:szCs w:val="21"/>
          <w:u w:val="none"/>
          <w:lang w:val="en-US" w:eastAsia="zh-CN"/>
        </w:rPr>
      </w:pPr>
      <w:r>
        <w:rPr>
          <w:rFonts w:hint="eastAsia" w:ascii="宋体" w:hAnsi="宋体" w:cs="TimesNewRomanPSMT"/>
          <w:b/>
          <w:bCs/>
          <w:kern w:val="0"/>
          <w:szCs w:val="21"/>
        </w:rPr>
        <w:t>2.1 工程概况：</w:t>
      </w:r>
      <w:r>
        <w:rPr>
          <w:rFonts w:hint="eastAsia" w:ascii="宋体" w:hAnsi="宋体" w:cs="宋体"/>
          <w:color w:val="FF0000"/>
          <w:kern w:val="0"/>
          <w:szCs w:val="21"/>
          <w:u w:val="none"/>
          <w:lang w:val="en-US" w:eastAsia="zh-CN"/>
        </w:rPr>
        <w:t>本工程为沈庄漾农民新村土建工程，共4幢，其中户型240型2幢，180户型2幢，建筑层数：3层，建筑高度：11.14米。</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w:t>
      </w:r>
      <w:r>
        <w:rPr>
          <w:rFonts w:hint="eastAsia" w:ascii="宋体" w:hAnsi="宋体" w:cs="TimesNewRomanPSMT"/>
          <w:b/>
          <w:bCs/>
          <w:kern w:val="0"/>
          <w:szCs w:val="21"/>
          <w:lang w:val="en-US" w:eastAsia="zh-CN"/>
        </w:rPr>
        <w:t>次</w:t>
      </w:r>
      <w:r>
        <w:rPr>
          <w:rFonts w:hint="eastAsia" w:ascii="宋体" w:hAnsi="宋体" w:cs="TimesNewRomanPSMT"/>
          <w:b/>
          <w:bCs/>
          <w:kern w:val="0"/>
          <w:szCs w:val="21"/>
        </w:rPr>
        <w:t>招标范围：</w:t>
      </w:r>
      <w:r>
        <w:rPr>
          <w:rFonts w:hint="eastAsia" w:ascii="宋体" w:hAnsi="宋体" w:cs="宋体"/>
          <w:color w:val="FF0000"/>
          <w:kern w:val="0"/>
          <w:szCs w:val="21"/>
          <w:u w:val="none"/>
          <w:lang w:val="en-US" w:eastAsia="zh-CN"/>
        </w:rPr>
        <w:t>沈庄漾农民新村土建工程，共4幢，其中户型240型2幢，180户型2幢，建筑层数：3层，建筑高度：11.14米，土建施工、场地平整、临水临电及其他业主要求的施工内容</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南浔沈庄漾农民新村联排土建工程劳务分包</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宋体"/>
          <w:color w:val="FF0000"/>
          <w:kern w:val="0"/>
          <w:szCs w:val="21"/>
          <w:u w:val="none"/>
          <w:lang w:val="en-US" w:eastAsia="zh-CN"/>
        </w:rPr>
        <w:t>沈庄漾农民新村土建工程，共4幢，其中户型240型2幢，180户型2幢，建筑层数：3层，建筑高度：11.14米，土建施工、场地平整、临水临电及其他业主要求的施工内容</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宋体"/>
          <w:color w:val="FF0000"/>
          <w:kern w:val="0"/>
          <w:szCs w:val="21"/>
          <w:u w:val="single"/>
          <w:lang w:val="en-US" w:eastAsia="zh-CN"/>
        </w:rPr>
        <w:t>沈庄漾农民新村内部</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2021年6月27日至2021年6月29日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w:t>
      </w:r>
      <w:r>
        <w:rPr>
          <w:rFonts w:hint="eastAsia" w:ascii="宋体" w:hAnsi="宋体" w:cs="仿宋_GB2312"/>
          <w:kern w:val="0"/>
          <w:szCs w:val="21"/>
          <w:lang w:val="en-US" w:eastAsia="zh-CN"/>
        </w:rPr>
        <w:t>招标</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8</w:t>
      </w:r>
      <w:r>
        <w:rPr>
          <w:rFonts w:hint="eastAsia" w:ascii="宋体" w:hAnsi="宋体" w:cs="仿宋_GB2312"/>
          <w:color w:val="FF0000"/>
          <w:kern w:val="0"/>
          <w:szCs w:val="21"/>
        </w:rPr>
        <w:t>%（审计结算价下浮</w:t>
      </w:r>
      <w:r>
        <w:rPr>
          <w:rFonts w:hint="eastAsia" w:ascii="宋体" w:hAnsi="宋体" w:cs="仿宋_GB2312"/>
          <w:color w:val="FF0000"/>
          <w:kern w:val="0"/>
          <w:szCs w:val="21"/>
          <w:lang w:val="en-US" w:eastAsia="zh-CN"/>
        </w:rPr>
        <w:t>中标率</w:t>
      </w:r>
      <w:r>
        <w:rPr>
          <w:rFonts w:hint="eastAsia" w:ascii="宋体" w:hAnsi="宋体" w:cs="仿宋_GB2312"/>
          <w:color w:val="FF0000"/>
          <w:kern w:val="0"/>
          <w:szCs w:val="21"/>
        </w:rPr>
        <w:t>）</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南浔沈庄漾农民新村联排土建工程劳务分包</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宋体"/>
                <w:color w:val="FF0000"/>
                <w:kern w:val="0"/>
                <w:szCs w:val="21"/>
                <w:u w:val="none"/>
                <w:lang w:val="en-US" w:eastAsia="zh-CN"/>
              </w:rPr>
              <w:t>沈庄漾农民新村土建工程，共4幢，其中户型240型2幢，180户型2幢，建筑层数：3层，建筑高度：11.14米，土建施工、场地平整、临水临电及其他业主要求的施工内容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6个月</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hint="eastAsia" w:ascii="宋体" w:hAnsi="宋体" w:eastAsia="宋体" w:cs="仿宋_GB2312"/>
                <w:kern w:val="0"/>
                <w:szCs w:val="21"/>
                <w:lang w:eastAsia="zh-CN"/>
              </w:rPr>
            </w:pPr>
            <w:r>
              <w:rPr>
                <w:rFonts w:hint="eastAsia" w:ascii="宋体" w:hAnsi="宋体"/>
                <w:kern w:val="0"/>
                <w:szCs w:val="21"/>
              </w:rPr>
              <w:t xml:space="preserve">履约担保合同金额的 </w:t>
            </w:r>
            <w:r>
              <w:rPr>
                <w:rFonts w:hint="eastAsia" w:ascii="宋体" w:hAnsi="宋体"/>
                <w:color w:val="FF0000"/>
                <w:kern w:val="0"/>
                <w:szCs w:val="21"/>
                <w:u w:val="single"/>
                <w:lang w:val="en-US" w:eastAsia="zh-CN"/>
              </w:rPr>
              <w:t>5</w:t>
            </w:r>
            <w:r>
              <w:rPr>
                <w:rFonts w:hint="eastAsia" w:ascii="宋体" w:hAnsi="宋体"/>
                <w:color w:val="FF0000"/>
                <w:kern w:val="0"/>
                <w:szCs w:val="21"/>
                <w:u w:val="single"/>
              </w:rPr>
              <w:t xml:space="preserve"> </w:t>
            </w:r>
            <w:r>
              <w:rPr>
                <w:rFonts w:hint="eastAsia" w:ascii="宋体" w:hAnsi="宋体"/>
                <w:kern w:val="0"/>
                <w:szCs w:val="21"/>
                <w:lang w:val="en-US" w:eastAsia="zh-CN"/>
              </w:rPr>
              <w:t>万</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5</w:t>
            </w:r>
            <w:r>
              <w:rPr>
                <w:rFonts w:hint="eastAsia" w:ascii="宋体" w:hAnsi="宋体"/>
                <w:color w:val="FF0000"/>
                <w:kern w:val="0"/>
                <w:szCs w:val="21"/>
                <w:u w:val="single"/>
              </w:rPr>
              <w:t xml:space="preserve"> </w:t>
            </w:r>
            <w:r>
              <w:rPr>
                <w:rFonts w:hint="eastAsia" w:ascii="宋体" w:hAnsi="宋体"/>
                <w:kern w:val="0"/>
                <w:szCs w:val="21"/>
                <w:lang w:val="en-US" w:eastAsia="zh-CN"/>
              </w:rPr>
              <w:t>万</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9</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图纸</w:t>
      </w:r>
      <w:bookmarkStart w:id="44" w:name="_GoBack"/>
      <w:bookmarkEnd w:id="44"/>
      <w:r>
        <w:rPr>
          <w:rFonts w:hint="eastAsia" w:ascii="宋体" w:hAnsi="宋体" w:cs="仿宋_GB2312"/>
          <w:color w:val="FF0000"/>
          <w:kern w:val="0"/>
          <w:szCs w:val="21"/>
        </w:rPr>
        <w:t>。对招标文件所作的澄清、修改，构成招标文件的组成部分。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综合评分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152045575"/>
      <w:bookmarkStart w:id="4" w:name="_Toc152042351"/>
      <w:bookmarkStart w:id="5" w:name="_Toc247085733"/>
      <w:bookmarkStart w:id="6" w:name="_Toc246996962"/>
      <w:bookmarkStart w:id="7" w:name="_Toc296602462"/>
      <w:bookmarkStart w:id="8" w:name="_Toc179632593"/>
      <w:bookmarkStart w:id="9" w:name="_Toc246996219"/>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46996963"/>
      <w:bookmarkStart w:id="13" w:name="_Toc152045576"/>
      <w:bookmarkStart w:id="14" w:name="_Toc144974544"/>
      <w:bookmarkStart w:id="15" w:name="_Toc246996220"/>
      <w:bookmarkStart w:id="16" w:name="_Toc296602463"/>
      <w:bookmarkStart w:id="17" w:name="_Toc247085734"/>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2353"/>
      <w:bookmarkStart w:id="20" w:name="_Toc246996221"/>
      <w:bookmarkStart w:id="21" w:name="_Toc246996964"/>
      <w:bookmarkStart w:id="22" w:name="_Toc152045577"/>
      <w:bookmarkStart w:id="23" w:name="_Toc296602464"/>
      <w:bookmarkStart w:id="24" w:name="_Toc247085735"/>
      <w:bookmarkStart w:id="25" w:name="_Toc144974545"/>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7085736"/>
      <w:bookmarkStart w:id="29" w:name="_Toc246996965"/>
      <w:bookmarkStart w:id="30" w:name="_Toc296602465"/>
      <w:bookmarkStart w:id="31" w:name="_Toc246996222"/>
      <w:bookmarkStart w:id="32" w:name="_Toc152042354"/>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152045579"/>
      <w:bookmarkStart w:id="38" w:name="_Toc152042356"/>
      <w:bookmarkStart w:id="39" w:name="_Toc296602466"/>
      <w:bookmarkStart w:id="40" w:name="_Toc246996223"/>
      <w:bookmarkStart w:id="41" w:name="_Toc247085737"/>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804"/>
        <w:gridCol w:w="780"/>
        <w:gridCol w:w="1884"/>
        <w:gridCol w:w="840"/>
        <w:gridCol w:w="5775"/>
      </w:tblGrid>
      <w:tr>
        <w:tblPrEx>
          <w:tblCellMar>
            <w:top w:w="0" w:type="dxa"/>
            <w:left w:w="108" w:type="dxa"/>
            <w:bottom w:w="0" w:type="dxa"/>
            <w:right w:w="108" w:type="dxa"/>
          </w:tblCellMar>
        </w:tblPrEx>
        <w:trPr>
          <w:trHeight w:val="557"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序号</w:t>
            </w:r>
          </w:p>
        </w:tc>
        <w:tc>
          <w:tcPr>
            <w:tcW w:w="78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类别</w:t>
            </w:r>
          </w:p>
        </w:tc>
        <w:tc>
          <w:tcPr>
            <w:tcW w:w="1884"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438" w:hRule="atLeast"/>
        </w:trPr>
        <w:tc>
          <w:tcPr>
            <w:tcW w:w="804"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hint="eastAsia" w:ascii="宋体" w:hAnsi="宋体" w:cs="宋体"/>
                <w:kern w:val="0"/>
                <w:szCs w:val="21"/>
              </w:rPr>
              <w:t>报价</w:t>
            </w:r>
          </w:p>
        </w:tc>
        <w:tc>
          <w:tcPr>
            <w:tcW w:w="188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hAnsi="Times New Roman" w:eastAsia="宋体" w:cs="宋体"/>
                <w:kern w:val="0"/>
                <w:sz w:val="21"/>
                <w:szCs w:val="21"/>
                <w:lang w:val="en-US" w:eastAsia="zh-CN" w:bidi="ar-SA"/>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w:t>
            </w:r>
            <w:r>
              <w:rPr>
                <w:rFonts w:hint="eastAsia" w:ascii="宋体" w:hAnsi="宋体" w:cs="宋体"/>
                <w:color w:val="000000"/>
                <w:sz w:val="21"/>
                <w:szCs w:val="21"/>
                <w:lang w:val="en-US" w:eastAsia="zh-CN"/>
              </w:rPr>
              <w:t>平均值</w:t>
            </w:r>
            <w:r>
              <w:rPr>
                <w:rFonts w:hint="eastAsia" w:ascii="宋体" w:hAnsi="宋体" w:eastAsia="宋体" w:cs="宋体"/>
                <w:color w:val="000000"/>
                <w:sz w:val="21"/>
                <w:szCs w:val="21"/>
                <w:lang w:val="en-US" w:eastAsia="zh-CN"/>
              </w:rPr>
              <w:t>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w:t>
            </w:r>
            <w:r>
              <w:rPr>
                <w:rFonts w:hint="eastAsia" w:ascii="宋体" w:hAnsi="宋体" w:cs="宋体"/>
                <w:color w:val="000000"/>
                <w:sz w:val="21"/>
                <w:szCs w:val="21"/>
                <w:lang w:val="en-US" w:eastAsia="zh-CN"/>
              </w:rPr>
              <w:t>平均值</w:t>
            </w:r>
            <w:r>
              <w:rPr>
                <w:rFonts w:hint="eastAsia" w:ascii="宋体" w:hAnsi="宋体" w:eastAsia="宋体" w:cs="宋体"/>
                <w:color w:val="000000"/>
                <w:sz w:val="21"/>
                <w:szCs w:val="21"/>
                <w:lang w:val="en-US" w:eastAsia="zh-CN"/>
              </w:rPr>
              <w:t>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w:t>
            </w:r>
            <w:r>
              <w:rPr>
                <w:rFonts w:hint="eastAsia" w:ascii="宋体" w:hAnsi="宋体" w:cs="宋体"/>
                <w:color w:val="000000"/>
                <w:sz w:val="21"/>
                <w:szCs w:val="21"/>
                <w:lang w:val="en-US" w:eastAsia="zh-CN"/>
              </w:rPr>
              <w:t>平均值</w:t>
            </w:r>
            <w:r>
              <w:rPr>
                <w:rFonts w:hint="eastAsia" w:ascii="宋体" w:hAnsi="宋体" w:eastAsia="宋体" w:cs="宋体"/>
                <w:color w:val="000000"/>
                <w:sz w:val="21"/>
                <w:szCs w:val="21"/>
                <w:lang w:val="en-US" w:eastAsia="zh-CN"/>
              </w:rPr>
              <w:t>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K=（投标报价—</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）/最佳报价*100</w:t>
            </w:r>
            <w:r>
              <w:rPr>
                <w:rFonts w:hint="eastAsia" w:ascii="宋体" w:hAnsi="宋体" w:cs="宋体"/>
                <w:color w:val="000000"/>
                <w:sz w:val="21"/>
                <w:szCs w:val="21"/>
                <w:lang w:val="en-US" w:eastAsia="zh-CN"/>
              </w:rPr>
              <w:t>%</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hint="default" w:ascii="宋体" w:hAnsi="Times New Roman" w:eastAsia="宋体" w:cs="宋体"/>
                <w:kern w:val="0"/>
                <w:sz w:val="21"/>
                <w:szCs w:val="21"/>
                <w:lang w:val="en-US" w:eastAsia="zh-CN" w:bidi="ar-SA"/>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933"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lang w:val="en-US" w:eastAsia="zh-CN"/>
              </w:rPr>
              <w:t>总体施工组织布置及规划</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106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3</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87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4</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85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5</w:t>
            </w:r>
          </w:p>
        </w:tc>
        <w:tc>
          <w:tcPr>
            <w:tcW w:w="78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*（1-中标率），其中</w:t>
      </w:r>
      <w:r>
        <w:rPr>
          <w:rFonts w:hint="eastAsia" w:ascii="宋体" w:hAnsi="宋体" w:cs="TimesNewRomanPSMT"/>
          <w:color w:val="0000FF"/>
          <w:szCs w:val="21"/>
          <w:lang w:val="en-US" w:eastAsia="zh-CN"/>
        </w:rPr>
        <w:t>以业主委托的第三方审计公司确定审计结算价</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混凝土、钢筋、切块、水泥等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按月进度</w:t>
      </w:r>
      <w:r>
        <w:rPr>
          <w:rFonts w:hint="eastAsia" w:ascii="宋体" w:hAnsi="宋体" w:cs="宋体"/>
          <w:b/>
          <w:color w:val="FF0000"/>
          <w:kern w:val="2"/>
          <w:sz w:val="21"/>
          <w:szCs w:val="21"/>
          <w:u w:val="none"/>
        </w:rPr>
        <w:t>至实际完成工程量的</w:t>
      </w:r>
      <w:r>
        <w:rPr>
          <w:rFonts w:hint="eastAsia" w:ascii="宋体" w:hAnsi="宋体" w:cs="宋体"/>
          <w:b/>
          <w:color w:val="FF0000"/>
          <w:kern w:val="2"/>
          <w:sz w:val="21"/>
          <w:szCs w:val="21"/>
          <w:u w:val="none"/>
          <w:lang w:val="en-US" w:eastAsia="zh-CN"/>
        </w:rPr>
        <w:t>60</w:t>
      </w:r>
      <w:r>
        <w:rPr>
          <w:rFonts w:hint="eastAsia" w:ascii="宋体" w:hAnsi="宋体" w:cs="宋体"/>
          <w:b/>
          <w:color w:val="FF0000"/>
          <w:kern w:val="2"/>
          <w:sz w:val="21"/>
          <w:szCs w:val="21"/>
          <w:u w:val="none"/>
        </w:rPr>
        <w:t>%，</w:t>
      </w:r>
      <w:r>
        <w:rPr>
          <w:rFonts w:hint="eastAsia" w:ascii="宋体" w:hAnsi="宋体" w:cs="宋体"/>
          <w:b/>
          <w:color w:val="FF0000"/>
          <w:kern w:val="2"/>
          <w:sz w:val="21"/>
          <w:szCs w:val="21"/>
          <w:u w:val="none"/>
          <w:lang w:val="en-US" w:eastAsia="zh-CN"/>
        </w:rPr>
        <w:t>竣工验收完成支付至75%，</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天内组织管理班子及工人进场开始施工，在</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六、</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八、</w:t>
      </w:r>
      <w:r>
        <w:rPr>
          <w:rFonts w:hint="eastAsia" w:ascii="宋体" w:hAnsi="宋体" w:cs="仿宋_GB2312"/>
          <w:kern w:val="0"/>
          <w:szCs w:val="21"/>
        </w:rPr>
        <w:t>《项目管理组织机构》</w:t>
      </w: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4"/>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C570C7"/>
    <w:rsid w:val="04DA4E56"/>
    <w:rsid w:val="04EB7E87"/>
    <w:rsid w:val="04EC36CC"/>
    <w:rsid w:val="05124135"/>
    <w:rsid w:val="051E0E9A"/>
    <w:rsid w:val="052D6729"/>
    <w:rsid w:val="059841B5"/>
    <w:rsid w:val="05BF6198"/>
    <w:rsid w:val="05F7114B"/>
    <w:rsid w:val="05F717DB"/>
    <w:rsid w:val="07870DD4"/>
    <w:rsid w:val="07933142"/>
    <w:rsid w:val="07A05E7D"/>
    <w:rsid w:val="07DF3C55"/>
    <w:rsid w:val="08103BAC"/>
    <w:rsid w:val="08687625"/>
    <w:rsid w:val="08785560"/>
    <w:rsid w:val="08D46119"/>
    <w:rsid w:val="09451A80"/>
    <w:rsid w:val="099F3E40"/>
    <w:rsid w:val="09B54D47"/>
    <w:rsid w:val="09CF5737"/>
    <w:rsid w:val="0A2441B5"/>
    <w:rsid w:val="0A5A5EBE"/>
    <w:rsid w:val="0AAC6BE4"/>
    <w:rsid w:val="0AB32181"/>
    <w:rsid w:val="0AB61377"/>
    <w:rsid w:val="0ADE2021"/>
    <w:rsid w:val="0AE66846"/>
    <w:rsid w:val="0B4A311D"/>
    <w:rsid w:val="0BA056F7"/>
    <w:rsid w:val="0BAF2250"/>
    <w:rsid w:val="0C715A9F"/>
    <w:rsid w:val="0CA72033"/>
    <w:rsid w:val="0CB57E44"/>
    <w:rsid w:val="0CBB11BF"/>
    <w:rsid w:val="0D00419D"/>
    <w:rsid w:val="0D060ACA"/>
    <w:rsid w:val="0D1E7589"/>
    <w:rsid w:val="0D2C79B1"/>
    <w:rsid w:val="0D395ADB"/>
    <w:rsid w:val="0DA10CD9"/>
    <w:rsid w:val="0DAA3778"/>
    <w:rsid w:val="0DC9341C"/>
    <w:rsid w:val="0DC937C0"/>
    <w:rsid w:val="0DDE73FA"/>
    <w:rsid w:val="0E703A00"/>
    <w:rsid w:val="0EB964D6"/>
    <w:rsid w:val="0ED9012F"/>
    <w:rsid w:val="0EE11F93"/>
    <w:rsid w:val="0F062706"/>
    <w:rsid w:val="0F07103E"/>
    <w:rsid w:val="0F2149F3"/>
    <w:rsid w:val="0F2E3A4B"/>
    <w:rsid w:val="0F633C90"/>
    <w:rsid w:val="0FA00107"/>
    <w:rsid w:val="0FAE4BA9"/>
    <w:rsid w:val="0FDA2C64"/>
    <w:rsid w:val="100F0015"/>
    <w:rsid w:val="10163297"/>
    <w:rsid w:val="10B412E9"/>
    <w:rsid w:val="11151C5F"/>
    <w:rsid w:val="11342AE3"/>
    <w:rsid w:val="11547BE0"/>
    <w:rsid w:val="11E20196"/>
    <w:rsid w:val="122C41A2"/>
    <w:rsid w:val="1260013F"/>
    <w:rsid w:val="12666D58"/>
    <w:rsid w:val="12C90B50"/>
    <w:rsid w:val="13223D8C"/>
    <w:rsid w:val="13745BA1"/>
    <w:rsid w:val="13CD26E2"/>
    <w:rsid w:val="149B3D57"/>
    <w:rsid w:val="14BD4BDD"/>
    <w:rsid w:val="14DD050E"/>
    <w:rsid w:val="14F711DC"/>
    <w:rsid w:val="15461AA9"/>
    <w:rsid w:val="1546360D"/>
    <w:rsid w:val="15A47628"/>
    <w:rsid w:val="15DF0493"/>
    <w:rsid w:val="1636706C"/>
    <w:rsid w:val="16661441"/>
    <w:rsid w:val="16692D06"/>
    <w:rsid w:val="16C0024D"/>
    <w:rsid w:val="16CA1FD6"/>
    <w:rsid w:val="17193619"/>
    <w:rsid w:val="172B78C9"/>
    <w:rsid w:val="174C7528"/>
    <w:rsid w:val="1766153D"/>
    <w:rsid w:val="177D0DF0"/>
    <w:rsid w:val="178D7750"/>
    <w:rsid w:val="17E76070"/>
    <w:rsid w:val="17FC683D"/>
    <w:rsid w:val="18367CDA"/>
    <w:rsid w:val="18A373BF"/>
    <w:rsid w:val="191C650D"/>
    <w:rsid w:val="19C26E47"/>
    <w:rsid w:val="1A377E4D"/>
    <w:rsid w:val="1A417455"/>
    <w:rsid w:val="1A55578A"/>
    <w:rsid w:val="1A761E92"/>
    <w:rsid w:val="1A8643C5"/>
    <w:rsid w:val="1A8804E1"/>
    <w:rsid w:val="1ABE2171"/>
    <w:rsid w:val="1B7431C3"/>
    <w:rsid w:val="1BA96FBE"/>
    <w:rsid w:val="1BC70C49"/>
    <w:rsid w:val="1BF965A1"/>
    <w:rsid w:val="1C107DE9"/>
    <w:rsid w:val="1C133FA6"/>
    <w:rsid w:val="1C3800B2"/>
    <w:rsid w:val="1C5B3FD4"/>
    <w:rsid w:val="1C811351"/>
    <w:rsid w:val="1C823584"/>
    <w:rsid w:val="1C97489E"/>
    <w:rsid w:val="1C9F69B8"/>
    <w:rsid w:val="1CD70817"/>
    <w:rsid w:val="1CDA4153"/>
    <w:rsid w:val="1D12745B"/>
    <w:rsid w:val="1D8E30F7"/>
    <w:rsid w:val="1EF403AD"/>
    <w:rsid w:val="1F207B44"/>
    <w:rsid w:val="1FA03DAE"/>
    <w:rsid w:val="1FAA3C18"/>
    <w:rsid w:val="1FED51FB"/>
    <w:rsid w:val="203D5C7A"/>
    <w:rsid w:val="204F4146"/>
    <w:rsid w:val="20CC075D"/>
    <w:rsid w:val="210B711D"/>
    <w:rsid w:val="217A2E8F"/>
    <w:rsid w:val="21AD2AA9"/>
    <w:rsid w:val="22B17536"/>
    <w:rsid w:val="22B34C3F"/>
    <w:rsid w:val="22FB651D"/>
    <w:rsid w:val="23073830"/>
    <w:rsid w:val="240C433A"/>
    <w:rsid w:val="2417309F"/>
    <w:rsid w:val="243E2265"/>
    <w:rsid w:val="2472448D"/>
    <w:rsid w:val="24E94FA2"/>
    <w:rsid w:val="252400AA"/>
    <w:rsid w:val="25372ADE"/>
    <w:rsid w:val="25BB1B2D"/>
    <w:rsid w:val="25D87FB3"/>
    <w:rsid w:val="25DE77BD"/>
    <w:rsid w:val="25EC2C8E"/>
    <w:rsid w:val="2648468A"/>
    <w:rsid w:val="27225448"/>
    <w:rsid w:val="27266761"/>
    <w:rsid w:val="2746156A"/>
    <w:rsid w:val="278D5A4A"/>
    <w:rsid w:val="27936D0C"/>
    <w:rsid w:val="280B7FEB"/>
    <w:rsid w:val="283D504A"/>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1003"/>
    <w:rsid w:val="2C2C542E"/>
    <w:rsid w:val="2C7173E0"/>
    <w:rsid w:val="2C8E4D82"/>
    <w:rsid w:val="2CD03054"/>
    <w:rsid w:val="2CD87789"/>
    <w:rsid w:val="2D0A27D8"/>
    <w:rsid w:val="2D3C001D"/>
    <w:rsid w:val="2D505B75"/>
    <w:rsid w:val="2D7E320A"/>
    <w:rsid w:val="2DD122C7"/>
    <w:rsid w:val="2E085135"/>
    <w:rsid w:val="2E5C0F57"/>
    <w:rsid w:val="2E784EE0"/>
    <w:rsid w:val="2EC921D2"/>
    <w:rsid w:val="2EE66A28"/>
    <w:rsid w:val="2F244316"/>
    <w:rsid w:val="2F3C7172"/>
    <w:rsid w:val="2F6912D0"/>
    <w:rsid w:val="2FB14A43"/>
    <w:rsid w:val="2FD030CF"/>
    <w:rsid w:val="2FE47620"/>
    <w:rsid w:val="2FEE4A3B"/>
    <w:rsid w:val="2FEE5699"/>
    <w:rsid w:val="300C7997"/>
    <w:rsid w:val="302A57BB"/>
    <w:rsid w:val="303B7986"/>
    <w:rsid w:val="30AE1D52"/>
    <w:rsid w:val="30E7266C"/>
    <w:rsid w:val="30EA5331"/>
    <w:rsid w:val="311A0F54"/>
    <w:rsid w:val="315111F1"/>
    <w:rsid w:val="316A42B7"/>
    <w:rsid w:val="316C2015"/>
    <w:rsid w:val="317B512E"/>
    <w:rsid w:val="31F34B0C"/>
    <w:rsid w:val="31F74D74"/>
    <w:rsid w:val="32293DF3"/>
    <w:rsid w:val="329C70DF"/>
    <w:rsid w:val="33352B46"/>
    <w:rsid w:val="334A7AE4"/>
    <w:rsid w:val="336A45BE"/>
    <w:rsid w:val="33D93647"/>
    <w:rsid w:val="33E24E2C"/>
    <w:rsid w:val="33F3561C"/>
    <w:rsid w:val="33F4138D"/>
    <w:rsid w:val="341325A0"/>
    <w:rsid w:val="34B93D28"/>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E64A6A"/>
    <w:rsid w:val="3AF10675"/>
    <w:rsid w:val="3AF57C04"/>
    <w:rsid w:val="3B4343B6"/>
    <w:rsid w:val="3B4D3B9C"/>
    <w:rsid w:val="3B4E0EDA"/>
    <w:rsid w:val="3B6D0AC3"/>
    <w:rsid w:val="3B920879"/>
    <w:rsid w:val="3C36656E"/>
    <w:rsid w:val="3C5B5241"/>
    <w:rsid w:val="3D2C178A"/>
    <w:rsid w:val="3D6067DA"/>
    <w:rsid w:val="3DA12DAE"/>
    <w:rsid w:val="3DD570E9"/>
    <w:rsid w:val="3E036DBF"/>
    <w:rsid w:val="3E0747AF"/>
    <w:rsid w:val="3E1A638D"/>
    <w:rsid w:val="3EB1152D"/>
    <w:rsid w:val="3F30557D"/>
    <w:rsid w:val="3F3C3A0D"/>
    <w:rsid w:val="3FCD4482"/>
    <w:rsid w:val="3FD203D8"/>
    <w:rsid w:val="3FDA2369"/>
    <w:rsid w:val="3FF85F20"/>
    <w:rsid w:val="400A6C6A"/>
    <w:rsid w:val="40212731"/>
    <w:rsid w:val="402772FD"/>
    <w:rsid w:val="406A0379"/>
    <w:rsid w:val="41231EC9"/>
    <w:rsid w:val="418565C2"/>
    <w:rsid w:val="423C377E"/>
    <w:rsid w:val="42F16EA4"/>
    <w:rsid w:val="436F71BF"/>
    <w:rsid w:val="437012D3"/>
    <w:rsid w:val="437A2EB2"/>
    <w:rsid w:val="442C5A9F"/>
    <w:rsid w:val="4438633C"/>
    <w:rsid w:val="443C5FEA"/>
    <w:rsid w:val="44500D2A"/>
    <w:rsid w:val="44F7272B"/>
    <w:rsid w:val="45657083"/>
    <w:rsid w:val="456617F3"/>
    <w:rsid w:val="459254AC"/>
    <w:rsid w:val="45B10D60"/>
    <w:rsid w:val="45CC74A1"/>
    <w:rsid w:val="45EB0F0C"/>
    <w:rsid w:val="4640722E"/>
    <w:rsid w:val="464B6C7B"/>
    <w:rsid w:val="464F5C1E"/>
    <w:rsid w:val="46881C02"/>
    <w:rsid w:val="46AB7B44"/>
    <w:rsid w:val="46F7316C"/>
    <w:rsid w:val="470F4577"/>
    <w:rsid w:val="473B3EDA"/>
    <w:rsid w:val="4752442F"/>
    <w:rsid w:val="475E748F"/>
    <w:rsid w:val="47901A9F"/>
    <w:rsid w:val="47922799"/>
    <w:rsid w:val="47D97FC7"/>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DFD051B"/>
    <w:rsid w:val="4E0A4840"/>
    <w:rsid w:val="4E175D28"/>
    <w:rsid w:val="4E69264D"/>
    <w:rsid w:val="4EC206EE"/>
    <w:rsid w:val="4EFB7579"/>
    <w:rsid w:val="4F0931EA"/>
    <w:rsid w:val="4F676E75"/>
    <w:rsid w:val="504101F5"/>
    <w:rsid w:val="50484332"/>
    <w:rsid w:val="505143E0"/>
    <w:rsid w:val="505D1263"/>
    <w:rsid w:val="50E10D0C"/>
    <w:rsid w:val="51564AF1"/>
    <w:rsid w:val="51EC3B57"/>
    <w:rsid w:val="51F5100B"/>
    <w:rsid w:val="522D1344"/>
    <w:rsid w:val="528A7AE7"/>
    <w:rsid w:val="529A2FFC"/>
    <w:rsid w:val="53012AD1"/>
    <w:rsid w:val="537B44EB"/>
    <w:rsid w:val="53832185"/>
    <w:rsid w:val="53920CEE"/>
    <w:rsid w:val="543812D4"/>
    <w:rsid w:val="54B81E43"/>
    <w:rsid w:val="55662A4C"/>
    <w:rsid w:val="55B145B2"/>
    <w:rsid w:val="55F33201"/>
    <w:rsid w:val="560F30B7"/>
    <w:rsid w:val="563E6EEB"/>
    <w:rsid w:val="56737795"/>
    <w:rsid w:val="56A2724A"/>
    <w:rsid w:val="56AB1218"/>
    <w:rsid w:val="56BC578B"/>
    <w:rsid w:val="57255C57"/>
    <w:rsid w:val="578F351C"/>
    <w:rsid w:val="57C12963"/>
    <w:rsid w:val="57DC33A1"/>
    <w:rsid w:val="57FC57AD"/>
    <w:rsid w:val="586303D1"/>
    <w:rsid w:val="588501DB"/>
    <w:rsid w:val="58DA7D32"/>
    <w:rsid w:val="58E30090"/>
    <w:rsid w:val="59370951"/>
    <w:rsid w:val="594611C8"/>
    <w:rsid w:val="599855CB"/>
    <w:rsid w:val="59AC7755"/>
    <w:rsid w:val="59D35FCF"/>
    <w:rsid w:val="59E27657"/>
    <w:rsid w:val="59E618A3"/>
    <w:rsid w:val="5A03560E"/>
    <w:rsid w:val="5A2D770C"/>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281CAB"/>
    <w:rsid w:val="5E4279B3"/>
    <w:rsid w:val="5E57556F"/>
    <w:rsid w:val="5E6A285E"/>
    <w:rsid w:val="5E7078F9"/>
    <w:rsid w:val="5E711CDA"/>
    <w:rsid w:val="5E781148"/>
    <w:rsid w:val="5E8848F0"/>
    <w:rsid w:val="5EA61714"/>
    <w:rsid w:val="5EA83096"/>
    <w:rsid w:val="5F3A110B"/>
    <w:rsid w:val="5F544ADE"/>
    <w:rsid w:val="5FC0322F"/>
    <w:rsid w:val="5FD37C5B"/>
    <w:rsid w:val="60017C94"/>
    <w:rsid w:val="606D64A0"/>
    <w:rsid w:val="60C46ED4"/>
    <w:rsid w:val="612753A8"/>
    <w:rsid w:val="61347170"/>
    <w:rsid w:val="61612908"/>
    <w:rsid w:val="61797104"/>
    <w:rsid w:val="619E2C47"/>
    <w:rsid w:val="61A27AD0"/>
    <w:rsid w:val="61B4077C"/>
    <w:rsid w:val="62467775"/>
    <w:rsid w:val="628A613F"/>
    <w:rsid w:val="62936CE6"/>
    <w:rsid w:val="62CC2286"/>
    <w:rsid w:val="63365241"/>
    <w:rsid w:val="63613D1C"/>
    <w:rsid w:val="6363722B"/>
    <w:rsid w:val="63D52DC3"/>
    <w:rsid w:val="63EE2185"/>
    <w:rsid w:val="64103523"/>
    <w:rsid w:val="64130890"/>
    <w:rsid w:val="64144701"/>
    <w:rsid w:val="64474BA2"/>
    <w:rsid w:val="64DA205C"/>
    <w:rsid w:val="657151FB"/>
    <w:rsid w:val="65735D84"/>
    <w:rsid w:val="65CA5EB8"/>
    <w:rsid w:val="66444926"/>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762ABA"/>
    <w:rsid w:val="6ABA4B0F"/>
    <w:rsid w:val="6B2B2B84"/>
    <w:rsid w:val="6B32520E"/>
    <w:rsid w:val="6C7B2A22"/>
    <w:rsid w:val="6C800560"/>
    <w:rsid w:val="6CDD11CD"/>
    <w:rsid w:val="6CE05267"/>
    <w:rsid w:val="6CE40271"/>
    <w:rsid w:val="6D556F64"/>
    <w:rsid w:val="6D9F74C0"/>
    <w:rsid w:val="6DE33D6B"/>
    <w:rsid w:val="6E0C6798"/>
    <w:rsid w:val="6E500CD1"/>
    <w:rsid w:val="6E5C208F"/>
    <w:rsid w:val="6EB1189B"/>
    <w:rsid w:val="6F055553"/>
    <w:rsid w:val="6F2A0302"/>
    <w:rsid w:val="6FE724EF"/>
    <w:rsid w:val="70694A66"/>
    <w:rsid w:val="706B4B17"/>
    <w:rsid w:val="707545F2"/>
    <w:rsid w:val="70801458"/>
    <w:rsid w:val="70C94A80"/>
    <w:rsid w:val="7123259E"/>
    <w:rsid w:val="713A5025"/>
    <w:rsid w:val="71680B0F"/>
    <w:rsid w:val="71695D31"/>
    <w:rsid w:val="71F95237"/>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557FC9"/>
    <w:rsid w:val="7BD27F57"/>
    <w:rsid w:val="7BF6377E"/>
    <w:rsid w:val="7BFF3294"/>
    <w:rsid w:val="7C1266C5"/>
    <w:rsid w:val="7C84703D"/>
    <w:rsid w:val="7CB53C71"/>
    <w:rsid w:val="7CB63B55"/>
    <w:rsid w:val="7CBC31DA"/>
    <w:rsid w:val="7CCB3D37"/>
    <w:rsid w:val="7CE71B44"/>
    <w:rsid w:val="7D2E1A4A"/>
    <w:rsid w:val="7D846C0E"/>
    <w:rsid w:val="7D963331"/>
    <w:rsid w:val="7D9C539A"/>
    <w:rsid w:val="7DB55021"/>
    <w:rsid w:val="7E1259A1"/>
    <w:rsid w:val="7ECF6A67"/>
    <w:rsid w:val="7EEC1F1A"/>
    <w:rsid w:val="7EF121CF"/>
    <w:rsid w:val="7F023A24"/>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10</TotalTime>
  <ScaleCrop>false</ScaleCrop>
  <LinksUpToDate>false</LinksUpToDate>
  <CharactersWithSpaces>11055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2021-06-24T06:09:00Z</cp:lastPrinted>
  <dcterms:modified xsi:type="dcterms:W3CDTF">2021-06-27T11:43:19Z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