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72"/>
          <w:szCs w:val="72"/>
        </w:rPr>
      </w:pPr>
      <w:r>
        <w:rPr>
          <w:rFonts w:hint="eastAsia" w:asciiTheme="majorEastAsia" w:hAnsiTheme="majorEastAsia" w:eastAsiaTheme="majorEastAsia" w:cstheme="majorEastAsia"/>
          <w:b/>
          <w:color w:val="000000"/>
          <w:sz w:val="48"/>
          <w:szCs w:val="48"/>
        </w:rPr>
        <w:t>南浔区公共卫生及医疗能力综合提升项目-南浔区医疗集团善琏院区项目、南浔区公共卫生及医疗能力综合提升项目-南浔区医疗集团旧馆院区项目总承包项目（重新招标）-大轻包</w:t>
      </w:r>
    </w:p>
    <w:p>
      <w:pPr>
        <w:jc w:val="center"/>
        <w:rPr>
          <w:rFonts w:ascii="宋体" w:hAnsi="宋体"/>
          <w:sz w:val="36"/>
          <w:szCs w:val="36"/>
        </w:rPr>
      </w:pPr>
    </w:p>
    <w:p>
      <w:pPr>
        <w:jc w:val="center"/>
        <w:rPr>
          <w:rFonts w:ascii="宋体" w:hAnsi="宋体"/>
          <w:sz w:val="72"/>
          <w:szCs w:val="72"/>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招标条件</w:t>
      </w:r>
    </w:p>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ascii="宋体" w:hAnsi="宋体" w:cs="宋体"/>
          <w:kern w:val="0"/>
          <w:szCs w:val="21"/>
        </w:rPr>
      </w:pPr>
      <w:r>
        <w:rPr>
          <w:rFonts w:hint="eastAsia" w:ascii="宋体" w:hAnsi="宋体" w:cs="宋体"/>
          <w:kern w:val="0"/>
          <w:szCs w:val="21"/>
        </w:rPr>
        <w:t xml:space="preserve"> </w:t>
      </w:r>
      <w:r>
        <w:rPr>
          <w:rFonts w:hint="eastAsia" w:ascii="宋体" w:hAnsi="宋体" w:cs="宋体"/>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Pr>
          <w:rFonts w:hint="eastAsia" w:ascii="宋体" w:hAnsi="宋体" w:cs="宋体"/>
          <w:color w:val="FF0000"/>
          <w:kern w:val="0"/>
          <w:szCs w:val="21"/>
          <w:u w:val="single"/>
          <w:lang w:eastAsia="zh-CN"/>
        </w:rPr>
        <w:t>——</w:t>
      </w:r>
      <w:r>
        <w:rPr>
          <w:rFonts w:hint="eastAsia" w:ascii="宋体" w:hAnsi="宋体" w:cs="宋体"/>
          <w:color w:val="FF0000"/>
          <w:kern w:val="0"/>
          <w:szCs w:val="21"/>
          <w:u w:val="single"/>
          <w:lang w:val="en-US" w:eastAsia="zh-CN"/>
        </w:rPr>
        <w:t>大轻包</w:t>
      </w:r>
      <w:r>
        <w:rPr>
          <w:rFonts w:hint="eastAsia" w:ascii="宋体" w:hAnsi="宋体" w:cs="宋体"/>
          <w:kern w:val="0"/>
          <w:szCs w:val="21"/>
          <w:u w:val="single"/>
        </w:rPr>
        <w:t xml:space="preserve"> </w:t>
      </w:r>
      <w:r>
        <w:rPr>
          <w:rFonts w:hint="eastAsia" w:ascii="宋体" w:hAnsi="宋体" w:cs="宋体"/>
          <w:kern w:val="0"/>
          <w:szCs w:val="21"/>
        </w:rPr>
        <w:t>由</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工程总承包，项目业主为</w:t>
      </w:r>
      <w:r>
        <w:rPr>
          <w:rFonts w:hint="eastAsia" w:cs="宋体"/>
          <w:color w:val="FF0000"/>
          <w:szCs w:val="21"/>
          <w:u w:val="single"/>
        </w:rPr>
        <w:t>湖州市南浔区卫生健康局</w:t>
      </w:r>
      <w:r>
        <w:rPr>
          <w:rFonts w:hint="eastAsia" w:ascii="宋体" w:hAnsi="宋体" w:cs="宋体"/>
          <w:kern w:val="0"/>
          <w:szCs w:val="21"/>
        </w:rPr>
        <w:t>，招标人为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。项目已具备招标条件，对该项目</w:t>
      </w:r>
      <w:r>
        <w:rPr>
          <w:rFonts w:hint="eastAsia" w:ascii="宋体" w:hAnsi="宋体" w:cs="宋体"/>
          <w:kern w:val="0"/>
          <w:szCs w:val="21"/>
          <w:lang w:val="en-US" w:eastAsia="zh-CN"/>
        </w:rPr>
        <w:t xml:space="preserve"> </w:t>
      </w:r>
      <w:r>
        <w:rPr>
          <w:rFonts w:hint="eastAsia" w:ascii="宋体" w:hAnsi="宋体" w:cs="宋体"/>
          <w:color w:val="FF0000"/>
          <w:kern w:val="0"/>
          <w:szCs w:val="21"/>
          <w:u w:val="single"/>
        </w:rPr>
        <w:t xml:space="preserve"> 土建大轻包</w:t>
      </w:r>
      <w:r>
        <w:rPr>
          <w:rFonts w:hint="eastAsia" w:ascii="宋体" w:hAnsi="宋体" w:cs="宋体"/>
          <w:kern w:val="0"/>
          <w:szCs w:val="21"/>
          <w:u w:val="single"/>
        </w:rPr>
        <w:t xml:space="preserve"> </w:t>
      </w:r>
      <w:r>
        <w:rPr>
          <w:rFonts w:hint="eastAsia" w:ascii="宋体" w:hAnsi="宋体" w:cs="宋体"/>
          <w:kern w:val="0"/>
          <w:szCs w:val="21"/>
          <w:u w:val="none"/>
          <w:lang w:val="en-US" w:eastAsia="zh-CN"/>
        </w:rPr>
        <w:t>进行</w:t>
      </w:r>
      <w:r>
        <w:rPr>
          <w:rFonts w:hint="eastAsia" w:ascii="宋体" w:hAnsi="宋体" w:cs="宋体"/>
          <w:bCs/>
          <w:color w:val="000000"/>
          <w:szCs w:val="21"/>
          <w:u w:val="none"/>
        </w:rPr>
        <w:t>招标</w:t>
      </w:r>
      <w:r>
        <w:rPr>
          <w:rFonts w:hint="eastAsia" w:ascii="宋体" w:hAnsi="宋体" w:cs="宋体"/>
          <w:color w:val="000000"/>
          <w:szCs w:val="21"/>
        </w:rPr>
        <w:t>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360" w:lineRule="exact"/>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b/>
          <w:color w:val="FF0000"/>
          <w:szCs w:val="21"/>
        </w:rPr>
        <w:t>善琏院区约4467.3平方米、旧馆院区约11028.04平方米</w:t>
      </w:r>
      <w:r>
        <w:rPr>
          <w:rFonts w:hint="eastAsia" w:ascii="宋体" w:hAnsi="宋体" w:cs="宋体"/>
          <w:b/>
          <w:szCs w:val="21"/>
        </w:rPr>
        <w:t>。</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360" w:lineRule="exact"/>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招标范围：</w:t>
      </w:r>
      <w:r>
        <w:rPr>
          <w:rFonts w:hint="eastAsia" w:ascii="宋体" w:hAnsi="宋体" w:cs="TimesNewRomanPSMT"/>
          <w:kern w:val="0"/>
          <w:szCs w:val="21"/>
        </w:rPr>
        <w:t>本次招标范围为地基与基础工程、主体结构工程、砌筑工程、抹灰工程、二次结构工程、楼地面工程、屋面工程等（不含室外散水、台阶、坡道及公共部位装饰装修）。具体施工图纸以图纸为准。</w:t>
      </w:r>
    </w:p>
    <w:p>
      <w:pPr>
        <w:keepNext w:val="0"/>
        <w:keepLines w:val="0"/>
        <w:pageBreakBefore w:val="0"/>
        <w:widowControl w:val="0"/>
        <w:kinsoku/>
        <w:wordWrap/>
        <w:overflowPunct/>
        <w:topLinePunct w:val="0"/>
        <w:bidi w:val="0"/>
        <w:spacing w:line="360" w:lineRule="exact"/>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w:t>
      </w:r>
      <w:r>
        <w:rPr>
          <w:rFonts w:hint="eastAsia" w:ascii="宋体" w:hAnsi="宋体" w:cs="宋体"/>
          <w:kern w:val="0"/>
          <w:szCs w:val="21"/>
        </w:rPr>
        <w:t>。</w:t>
      </w:r>
    </w:p>
    <w:p>
      <w:pPr>
        <w:keepNext w:val="0"/>
        <w:keepLines w:val="0"/>
        <w:pageBreakBefore w:val="0"/>
        <w:widowControl w:val="0"/>
        <w:kinsoku/>
        <w:wordWrap/>
        <w:overflowPunct/>
        <w:topLinePunct w:val="0"/>
        <w:bidi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2.4. 主要施工内容及要求为:</w:t>
      </w:r>
      <w:bookmarkStart w:id="1" w:name="OLE_LINK1"/>
      <w:bookmarkStart w:id="2" w:name="OLE_LINK3"/>
      <w:bookmarkStart w:id="3" w:name="OLE_LINK2"/>
      <w:r>
        <w:rPr>
          <w:rFonts w:hint="eastAsia" w:ascii="宋体" w:hAnsi="宋体" w:cs="宋体"/>
          <w:kern w:val="0"/>
          <w:szCs w:val="21"/>
          <w:u w:val="single"/>
        </w:rPr>
        <w:t xml:space="preserve"> </w:t>
      </w:r>
      <w:r>
        <w:rPr>
          <w:rFonts w:hint="eastAsia" w:ascii="宋体" w:hAnsi="宋体" w:cs="宋体"/>
          <w:color w:val="FF0000"/>
          <w:kern w:val="0"/>
          <w:szCs w:val="21"/>
          <w:u w:val="single"/>
        </w:rPr>
        <w:t>南浔区公共卫生及医疗能力综合提升项目-南浔区医疗集团善琏院区项目、南浔区公共卫生及医疗能力综合提升项目-南浔区医疗集团旧馆院区项目总承包项目（重新招标）-大轻包</w:t>
      </w:r>
      <w:r>
        <w:rPr>
          <w:rFonts w:hint="eastAsia" w:ascii="宋体" w:hAnsi="宋体" w:cs="TimesNewRomanPSMT"/>
          <w:kern w:val="0"/>
          <w:szCs w:val="21"/>
        </w:rPr>
        <w:t>，</w:t>
      </w:r>
      <w:bookmarkEnd w:id="1"/>
      <w:r>
        <w:rPr>
          <w:rFonts w:hint="eastAsia" w:ascii="宋体" w:hAnsi="宋体" w:cs="TimesNewRomanPSMT"/>
          <w:kern w:val="0"/>
          <w:szCs w:val="21"/>
        </w:rPr>
        <w:t>包含地基与基础工程、主体结构工程、砌筑工程、抹灰工程、二次结构工程、楼地面工程、屋面工程等（不含室外散水、台阶、坡道及公共部位装饰装修</w:t>
      </w:r>
      <w:bookmarkEnd w:id="2"/>
      <w:r>
        <w:rPr>
          <w:rFonts w:hint="eastAsia" w:ascii="宋体" w:hAnsi="宋体" w:cs="TimesNewRomanPSMT"/>
          <w:kern w:val="0"/>
          <w:szCs w:val="21"/>
        </w:rPr>
        <w:t>）</w:t>
      </w:r>
      <w:bookmarkEnd w:id="3"/>
      <w:r>
        <w:rPr>
          <w:rFonts w:hint="eastAsia" w:ascii="宋体" w:hAnsi="宋体" w:cs="TimesNewRomanPSMT"/>
          <w:color w:val="FF0000"/>
          <w:kern w:val="0"/>
          <w:szCs w:val="21"/>
        </w:rPr>
        <w:t>中包含但不限于测量、放样、放线、施工组织、</w:t>
      </w:r>
      <w:r>
        <w:rPr>
          <w:rFonts w:hint="eastAsia" w:ascii="宋体" w:hAnsi="宋体" w:cs="宋体"/>
          <w:color w:val="FF0000"/>
          <w:szCs w:val="21"/>
        </w:rPr>
        <w:t>场地平整、人工回填、凿预制桩头、石子垫层铺设、土方开挖及回填、砼浇筑施工、模板及模架施工（含主材钢管、模板等）、钢筋下料制作安装、外脚手架搭设（含主材钢管、扣件、网片等）、砖墙砌筑、二次结构施工（包含圈梁、构造柱及图纸中线条的砼、模板、砼浇筑等）、抹灰施工（含保温层施工）、层面工程施工及塔吊、垂直运输设备安装等（含司机派遣）、钢筋制作安装、墙面抹灰等等，直至地基基础工程、主体结构工程、中间结构验收、竣工验收完成的所有土建内容</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360" w:lineRule="exact"/>
        <w:textAlignment w:val="auto"/>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5</w:t>
      </w:r>
      <w:r>
        <w:rPr>
          <w:rFonts w:hint="eastAsia" w:ascii="宋体" w:hAnsi="宋体" w:cs="TimesNewRomanPSMT"/>
          <w:kern w:val="0"/>
          <w:szCs w:val="21"/>
        </w:rPr>
        <w:t xml:space="preserve">  细部要求为:</w:t>
      </w:r>
    </w:p>
    <w:p>
      <w:pPr>
        <w:keepNext w:val="0"/>
        <w:keepLines w:val="0"/>
        <w:pageBreakBefore w:val="0"/>
        <w:widowControl w:val="0"/>
        <w:kinsoku/>
        <w:wordWrap/>
        <w:overflowPunct/>
        <w:topLinePunct w:val="0"/>
        <w:bidi w:val="0"/>
        <w:spacing w:line="360" w:lineRule="exact"/>
        <w:textAlignment w:val="auto"/>
        <w:rPr>
          <w:rFonts w:ascii="宋体" w:hAnsi="宋体" w:cs="TimesNewRomanPSMT"/>
          <w:kern w:val="0"/>
          <w:szCs w:val="21"/>
        </w:rPr>
      </w:pPr>
      <w:r>
        <w:rPr>
          <w:rFonts w:hint="eastAsia" w:ascii="宋体" w:hAnsi="宋体" w:cs="TimesNewRomanPSMT"/>
          <w:kern w:val="0"/>
          <w:szCs w:val="21"/>
        </w:rPr>
        <w:t>详见图纸、图集、答疑、招标文件、政府相关文件、规范等其他资料，满足验收要求。</w:t>
      </w:r>
    </w:p>
    <w:p>
      <w:pPr>
        <w:keepNext w:val="0"/>
        <w:keepLines w:val="0"/>
        <w:pageBreakBefore w:val="0"/>
        <w:widowControl w:val="0"/>
        <w:kinsoku/>
        <w:wordWrap/>
        <w:overflowPunct/>
        <w:topLinePunct w:val="0"/>
        <w:bidi w:val="0"/>
        <w:spacing w:line="360" w:lineRule="exact"/>
        <w:textAlignment w:val="auto"/>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6</w:t>
      </w:r>
      <w:r>
        <w:rPr>
          <w:rFonts w:hint="eastAsia" w:ascii="宋体" w:hAnsi="宋体" w:cs="TimesNewRomanPSMT"/>
          <w:kern w:val="0"/>
          <w:szCs w:val="21"/>
        </w:rPr>
        <w:t xml:space="preserve">  其它均按图纸、设计变更、业主等单位工作联系单要求施工。</w:t>
      </w:r>
    </w:p>
    <w:p>
      <w:pPr>
        <w:keepNext w:val="0"/>
        <w:keepLines w:val="0"/>
        <w:pageBreakBefore w:val="0"/>
        <w:widowControl w:val="0"/>
        <w:kinsoku/>
        <w:wordWrap/>
        <w:overflowPunct/>
        <w:topLinePunct w:val="0"/>
        <w:bidi w:val="0"/>
        <w:spacing w:line="360" w:lineRule="exact"/>
        <w:textAlignment w:val="auto"/>
        <w:rPr>
          <w:rFonts w:ascii="宋体" w:hAnsi="宋体" w:cs="宋体"/>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7</w:t>
      </w:r>
      <w:r>
        <w:rPr>
          <w:rFonts w:hint="eastAsia" w:ascii="宋体" w:hAnsi="宋体" w:cs="TimesNewRomanPSMT"/>
          <w:kern w:val="0"/>
          <w:szCs w:val="21"/>
        </w:rPr>
        <w:t xml:space="preserve"> 工程地点：位于</w:t>
      </w:r>
      <w:r>
        <w:rPr>
          <w:rFonts w:hint="eastAsia" w:ascii="宋体" w:hAnsi="宋体" w:cs="TimesNewRomanPSMT"/>
          <w:color w:val="FF0000"/>
          <w:kern w:val="0"/>
          <w:szCs w:val="21"/>
        </w:rPr>
        <w:t>湖州南浔旧馆镇、善琏镇</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360" w:lineRule="exact"/>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仿宋_GB2312"/>
          <w:kern w:val="0"/>
          <w:szCs w:val="21"/>
          <w:u w:val="single"/>
        </w:rPr>
        <w:t>2021</w:t>
      </w:r>
      <w:r>
        <w:rPr>
          <w:rFonts w:hint="eastAsia" w:ascii="宋体" w:hAnsi="宋体" w:cs="仿宋_GB2312"/>
          <w:bCs/>
          <w:kern w:val="0"/>
          <w:szCs w:val="21"/>
          <w:u w:val="single"/>
        </w:rPr>
        <w:t xml:space="preserve">年 </w:t>
      </w:r>
      <w:r>
        <w:rPr>
          <w:rFonts w:hint="eastAsia" w:ascii="宋体" w:hAnsi="宋体" w:cs="仿宋_GB2312"/>
          <w:bCs/>
          <w:kern w:val="0"/>
          <w:szCs w:val="21"/>
          <w:u w:val="single"/>
          <w:lang w:val="en-US" w:eastAsia="zh-CN"/>
        </w:rPr>
        <w:t>7</w:t>
      </w:r>
      <w:r>
        <w:rPr>
          <w:rFonts w:hint="eastAsia" w:ascii="宋体" w:hAnsi="宋体" w:cs="仿宋_GB2312"/>
          <w:bCs/>
          <w:kern w:val="0"/>
          <w:szCs w:val="21"/>
          <w:u w:val="single"/>
        </w:rPr>
        <w:t>月1</w:t>
      </w:r>
      <w:r>
        <w:rPr>
          <w:rFonts w:hint="eastAsia" w:ascii="宋体" w:hAnsi="宋体" w:cs="仿宋_GB2312"/>
          <w:bCs/>
          <w:kern w:val="0"/>
          <w:szCs w:val="21"/>
          <w:u w:val="single"/>
          <w:lang w:val="en-US" w:eastAsia="zh-CN"/>
        </w:rPr>
        <w:t>6</w:t>
      </w:r>
      <w:r>
        <w:rPr>
          <w:rFonts w:hint="eastAsia" w:ascii="宋体" w:hAnsi="宋体" w:cs="仿宋_GB2312"/>
          <w:bCs/>
          <w:kern w:val="0"/>
          <w:szCs w:val="21"/>
          <w:u w:val="single"/>
        </w:rPr>
        <w:t>日至2021年</w:t>
      </w:r>
      <w:r>
        <w:rPr>
          <w:rFonts w:hint="eastAsia" w:ascii="宋体" w:hAnsi="宋体" w:cs="仿宋_GB2312"/>
          <w:bCs/>
          <w:kern w:val="0"/>
          <w:szCs w:val="21"/>
          <w:u w:val="single"/>
          <w:lang w:val="en-US" w:eastAsia="zh-CN"/>
        </w:rPr>
        <w:t>7</w:t>
      </w:r>
      <w:r>
        <w:rPr>
          <w:rFonts w:hint="eastAsia" w:ascii="宋体" w:hAnsi="宋体" w:cs="仿宋_GB2312"/>
          <w:bCs/>
          <w:kern w:val="0"/>
          <w:szCs w:val="21"/>
          <w:u w:val="single"/>
        </w:rPr>
        <w:t>月</w:t>
      </w:r>
      <w:r>
        <w:rPr>
          <w:rFonts w:hint="eastAsia" w:ascii="宋体" w:hAnsi="宋体" w:cs="仿宋_GB2312"/>
          <w:bCs/>
          <w:kern w:val="0"/>
          <w:szCs w:val="21"/>
          <w:u w:val="single"/>
          <w:lang w:val="en-US" w:eastAsia="zh-CN"/>
        </w:rPr>
        <w:t>18</w:t>
      </w:r>
      <w:r>
        <w:rPr>
          <w:rFonts w:hint="eastAsia" w:ascii="宋体" w:hAnsi="宋体" w:cs="仿宋_GB2312"/>
          <w:bCs/>
          <w:kern w:val="0"/>
          <w:szCs w:val="21"/>
          <w:u w:val="single"/>
        </w:rPr>
        <w:t>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360" w:lineRule="exact"/>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360" w:lineRule="exact"/>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bidi w:val="0"/>
        <w:spacing w:line="360" w:lineRule="exact"/>
        <w:textAlignment w:val="auto"/>
        <w:rPr>
          <w:rFonts w:ascii="宋体" w:hAnsi="宋体" w:cs="仿宋_GB2312"/>
          <w:kern w:val="0"/>
          <w:szCs w:val="21"/>
        </w:rPr>
      </w:pPr>
      <w:r>
        <w:rPr>
          <w:rFonts w:hint="eastAsia" w:ascii="宋体" w:hAnsi="宋体" w:cs="仿宋_GB2312"/>
          <w:kern w:val="0"/>
          <w:szCs w:val="21"/>
        </w:rPr>
        <w:t>5.2此工程分包招标限价总价为：</w:t>
      </w:r>
      <w:r>
        <w:rPr>
          <w:rFonts w:hint="eastAsia"/>
          <w:b/>
          <w:color w:val="FF0000"/>
          <w:sz w:val="28"/>
          <w:szCs w:val="28"/>
          <w:u w:val="single"/>
          <w:lang w:val="en-US" w:eastAsia="zh-CN"/>
        </w:rPr>
        <w:t>970</w:t>
      </w:r>
      <w:r>
        <w:rPr>
          <w:rFonts w:hint="eastAsia" w:ascii="宋体" w:hAnsi="宋体" w:cs="仿宋_GB2312"/>
          <w:kern w:val="0"/>
          <w:szCs w:val="21"/>
        </w:rPr>
        <w:t>万元，投标单位投标总价不得高于分包招标限价的总价，否则作为废标处理。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val="en-US" w:eastAsia="zh-CN"/>
        </w:rPr>
        <w:t>营业执照</w:t>
      </w:r>
      <w:r>
        <w:rPr>
          <w:rFonts w:hint="eastAsia" w:ascii="宋体" w:hAnsi="宋体" w:cs="仿宋_GB2312"/>
          <w:kern w:val="0"/>
          <w:szCs w:val="21"/>
        </w:rPr>
        <w:t>》、《</w:t>
      </w:r>
      <w:r>
        <w:rPr>
          <w:rFonts w:hint="eastAsia" w:ascii="宋体" w:hAnsi="宋体" w:cs="仿宋_GB2312"/>
          <w:kern w:val="0"/>
          <w:szCs w:val="21"/>
          <w:lang w:val="en-US" w:eastAsia="zh-CN"/>
        </w:rPr>
        <w:t>企业资质</w:t>
      </w:r>
      <w:r>
        <w:rPr>
          <w:rFonts w:hint="eastAsia" w:ascii="宋体" w:hAnsi="宋体" w:cs="仿宋_GB2312"/>
          <w:kern w:val="0"/>
          <w:szCs w:val="21"/>
        </w:rPr>
        <w:t>》、《分包项目管理人员表》、《</w:t>
      </w:r>
      <w:r>
        <w:rPr>
          <w:rFonts w:hint="eastAsia" w:ascii="宋体" w:hAnsi="宋体" w:cs="仿宋_GB2312"/>
          <w:kern w:val="0"/>
          <w:szCs w:val="21"/>
          <w:lang w:val="en-US" w:eastAsia="zh-CN"/>
        </w:rPr>
        <w:t>工程量清单</w:t>
      </w:r>
      <w:r>
        <w:rPr>
          <w:rFonts w:hint="eastAsia" w:ascii="宋体" w:hAnsi="宋体" w:cs="仿宋_GB2312"/>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autoSpaceDE w:val="0"/>
        <w:autoSpaceDN w:val="0"/>
        <w:adjustRightInd w:val="0"/>
        <w:spacing w:line="360" w:lineRule="auto"/>
        <w:jc w:val="center"/>
        <w:rPr>
          <w:rFonts w:ascii="宋体" w:hAnsi="宋体" w:cs="黑体"/>
          <w:b/>
          <w:kern w:val="0"/>
          <w:szCs w:val="21"/>
          <w:u w:val="single"/>
        </w:rPr>
      </w:pPr>
      <w:r>
        <w:rPr>
          <w:rFonts w:hint="eastAsia" w:ascii="宋体" w:hAnsi="宋体" w:cs="黑体"/>
          <w:b/>
          <w:kern w:val="0"/>
          <w:szCs w:val="21"/>
          <w:u w:val="single"/>
        </w:rPr>
        <w:t>第二章</w:t>
      </w:r>
      <w:bookmarkStart w:id="4" w:name="投标人须知"/>
      <w:r>
        <w:rPr>
          <w:rFonts w:hint="eastAsia" w:ascii="宋体" w:hAnsi="宋体" w:cs="黑体"/>
          <w:b/>
          <w:kern w:val="0"/>
          <w:szCs w:val="21"/>
          <w:u w:val="single"/>
        </w:rPr>
        <w:t>投标人须知</w:t>
      </w:r>
      <w:bookmarkEnd w:id="4"/>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2"/>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Ansi="宋体" w:cs="仿宋_GB2312"/>
                <w:color w:val="auto"/>
                <w:sz w:val="21"/>
                <w:szCs w:val="21"/>
              </w:rPr>
              <w:t>莘</w:t>
            </w:r>
            <w:r>
              <w:rPr>
                <w:rFonts w:hint="eastAsia" w:hAnsi="宋体" w:cs="Times New Roman"/>
                <w:color w:val="auto"/>
                <w:sz w:val="18"/>
                <w:szCs w:val="18"/>
              </w:rPr>
              <w:t>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rPr>
              <w:t>南浔区公共卫生及医疗能力综合提升项目-南浔区医疗集团善琏院区项目、南浔区公共卫生及医疗能力综合提升项目-南浔区医疗集团旧馆院区项目总承包项目（重新招标）-大轻包工程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Ansi="宋体"/>
                <w:color w:val="FF0000"/>
                <w:szCs w:val="21"/>
              </w:rPr>
            </w:pPr>
            <w:r>
              <w:rPr>
                <w:rFonts w:hint="eastAsia" w:ascii="宋体" w:hAnsi="宋体" w:cs="TimesNewRomanPSMT"/>
                <w:color w:val="FF0000"/>
                <w:kern w:val="0"/>
                <w:szCs w:val="21"/>
              </w:rPr>
              <w:t>地基与基础工程、主体结构工程、砌筑工程、抹灰工程、二次结构工程、楼地面工程、屋面工程等（不含室外散水、台阶、坡道及公共部位装饰装修）等中包含但不限于测量、放样、放线、场地平整、人工回填、凿预制桩头、石子垫层铺设、土方开挖及回填、砼浇筑施工、模板及模架施工（含主材钢管、模板等）、   制作安装、外脚手架搭设（含主材钢管、扣件、网片等）、砖墙砌筑、二次结构施工（包含圈梁、构造柱及图纸中线条的砼、模板、砼浇筑等）、抹灰施工（含保温层施工）、层面工程施工及塔吊、垂直运输设备安装等（含司机派遣）、钢筋制作安装、墙面抹灰等等</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绝对工期：</w:t>
            </w:r>
            <w:r>
              <w:rPr>
                <w:rFonts w:hint="eastAsia" w:hAnsi="宋体"/>
                <w:color w:val="FF0000"/>
                <w:sz w:val="21"/>
                <w:szCs w:val="21"/>
              </w:rPr>
              <w:t>180</w:t>
            </w:r>
            <w:r>
              <w:rPr>
                <w:rFonts w:hint="eastAsia" w:hAnsi="宋体"/>
                <w:color w:val="auto"/>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8"/>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240" w:lineRule="auto"/>
              <w:jc w:val="both"/>
              <w:rPr>
                <w:rFonts w:hAnsi="宋体" w:cs="Times New Roman"/>
                <w:color w:val="auto"/>
                <w:sz w:val="21"/>
                <w:szCs w:val="21"/>
              </w:rPr>
            </w:pPr>
            <w:r>
              <w:rPr>
                <w:rFonts w:hint="eastAsia" w:hAnsi="宋体"/>
                <w:color w:val="auto"/>
                <w:sz w:val="21"/>
                <w:szCs w:val="21"/>
              </w:rPr>
              <w:t>计划开工日期：</w:t>
            </w:r>
            <w:r>
              <w:rPr>
                <w:rFonts w:hint="eastAsia" w:hAnsi="宋体"/>
                <w:color w:val="auto"/>
                <w:sz w:val="21"/>
                <w:szCs w:val="21"/>
                <w:lang w:val="en-US" w:eastAsia="zh-CN"/>
              </w:rPr>
              <w:t>立即进场</w:t>
            </w:r>
            <w:r>
              <w:rPr>
                <w:rFonts w:hint="eastAsia"/>
                <w:color w:val="auto"/>
                <w:sz w:val="21"/>
                <w:szCs w:val="21"/>
              </w:rPr>
              <w:t>（实际按项目部批准开工日期为准</w:t>
            </w:r>
            <w:r>
              <w:rPr>
                <w:rFonts w:hint="eastAsia"/>
                <w:color w:val="auto"/>
                <w:sz w:val="22"/>
                <w:szCs w:val="22"/>
              </w:rPr>
              <w:t>），</w:t>
            </w:r>
            <w:r>
              <w:rPr>
                <w:rFonts w:hint="eastAsia"/>
                <w:color w:val="auto"/>
                <w:sz w:val="21"/>
                <w:szCs w:val="21"/>
              </w:rPr>
              <w:t>两个项目必须确保同时进场开工。</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bookmarkStart w:id="47" w:name="_GoBack"/>
            <w:bookmarkEnd w:id="47"/>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240" w:lineRule="auto"/>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r>
              <w:rPr>
                <w:rFonts w:hint="eastAsia"/>
              </w:rPr>
              <w:t>投标保证金凭证备注：</w:t>
            </w:r>
            <w:r>
              <w:rPr>
                <w:rFonts w:hint="eastAsia" w:ascii="宋体" w:hAnsi="宋体" w:cs="宋体"/>
                <w:kern w:val="0"/>
                <w:szCs w:val="21"/>
              </w:rPr>
              <w:t>南浔区公共卫生及医疗能力综合提升项目大轻包工程</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湖州南浔城投城市建设集团有限公司招标办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湖州南浔城投城市建设集团有限公司一楼开标室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vMerge w:val="restart"/>
            <w:tcBorders>
              <w:top w:val="single" w:color="000000" w:sz="6" w:space="0"/>
              <w:left w:val="single" w:color="000000" w:sz="6" w:space="0"/>
              <w:right w:val="single" w:color="000000" w:sz="6" w:space="0"/>
            </w:tcBorders>
            <w:vAlign w:val="center"/>
          </w:tcPr>
          <w:p>
            <w:pPr>
              <w:wordWrap w:val="0"/>
              <w:adjustRightInd w:val="0"/>
              <w:snapToGrid w:val="0"/>
              <w:spacing w:line="400" w:lineRule="exact"/>
              <w:jc w:val="left"/>
              <w:rPr>
                <w:rFonts w:hint="default" w:ascii="宋体" w:hAnsi="宋体" w:eastAsia="宋体" w:cs="仿宋_GB2312"/>
                <w:kern w:val="0"/>
                <w:szCs w:val="21"/>
                <w:lang w:val="en-US" w:eastAsia="zh-CN"/>
              </w:rPr>
            </w:pPr>
            <w:r>
              <w:rPr>
                <w:rFonts w:hint="eastAsia" w:ascii="宋体" w:hAnsi="宋体"/>
                <w:kern w:val="0"/>
                <w:szCs w:val="21"/>
                <w:lang w:val="en-US" w:eastAsia="zh-CN"/>
              </w:rPr>
              <w:t>10万元整</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vMerge w:val="continue"/>
            <w:tcBorders>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keepNext w:val="0"/>
        <w:keepLines w:val="0"/>
        <w:pageBreakBefore w:val="0"/>
        <w:widowControl w:val="0"/>
        <w:kinsoku/>
        <w:wordWrap/>
        <w:overflowPunct/>
        <w:topLinePunct w:val="0"/>
        <w:bidi w:val="0"/>
        <w:spacing w:line="360" w:lineRule="exact"/>
        <w:textAlignment w:val="auto"/>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TimesNewRomanPSMT"/>
          <w:kern w:val="0"/>
          <w:szCs w:val="21"/>
          <w:lang w:val="en-US" w:eastAsia="zh-CN"/>
        </w:rPr>
        <w:t xml:space="preserve"> </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TimesNewRomanPSMT"/>
          <w:kern w:val="0"/>
          <w:szCs w:val="21"/>
          <w:lang w:val="en-US" w:eastAsia="zh-CN"/>
        </w:rPr>
        <w:t xml:space="preserve"> </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TimesNewRomanPSMT"/>
          <w:kern w:val="0"/>
          <w:szCs w:val="21"/>
          <w:lang w:val="en-US" w:eastAsia="zh-CN"/>
        </w:rPr>
        <w:t xml:space="preserve"> </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TimesNewRomanPSMT"/>
          <w:kern w:val="0"/>
          <w:szCs w:val="21"/>
          <w:lang w:val="en-US" w:eastAsia="zh-CN"/>
        </w:rPr>
        <w:t xml:space="preserve"> </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TimesNewRomanPSMT"/>
          <w:kern w:val="0"/>
          <w:szCs w:val="21"/>
          <w:lang w:val="en-US" w:eastAsia="zh-CN"/>
        </w:rPr>
        <w:t xml:space="preserve"> </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TimesNewRomanPSMT"/>
          <w:kern w:val="0"/>
          <w:szCs w:val="21"/>
          <w:lang w:val="en-US" w:eastAsia="zh-CN"/>
        </w:rPr>
        <w:t xml:space="preserve"> </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本招标文件包括：（</w:t>
      </w:r>
      <w:r>
        <w:rPr>
          <w:rFonts w:ascii="宋体" w:hAnsi="宋体" w:cs="TimesNewRomanPSMT"/>
          <w:kern w:val="0"/>
          <w:szCs w:val="21"/>
        </w:rPr>
        <w:t>1</w:t>
      </w:r>
      <w:r>
        <w:rPr>
          <w:rFonts w:hint="eastAsia" w:ascii="宋体" w:hAnsi="宋体" w:cs="仿宋_GB2312"/>
          <w:kern w:val="0"/>
          <w:szCs w:val="21"/>
        </w:rPr>
        <w:t>）招标须知；（</w:t>
      </w:r>
      <w:r>
        <w:rPr>
          <w:rFonts w:ascii="宋体" w:hAnsi="宋体" w:cs="TimesNewRomanPSMT"/>
          <w:kern w:val="0"/>
          <w:szCs w:val="21"/>
        </w:rPr>
        <w:t>2</w:t>
      </w:r>
      <w:r>
        <w:rPr>
          <w:rFonts w:hint="eastAsia" w:ascii="宋体" w:hAnsi="宋体" w:cs="仿宋_GB2312"/>
          <w:kern w:val="0"/>
          <w:szCs w:val="21"/>
        </w:rPr>
        <w:t>）投标人须知；（</w:t>
      </w:r>
      <w:r>
        <w:rPr>
          <w:rFonts w:ascii="宋体" w:hAnsi="宋体" w:cs="TimesNewRomanPSMT"/>
          <w:kern w:val="0"/>
          <w:szCs w:val="21"/>
        </w:rPr>
        <w:t>3</w:t>
      </w:r>
      <w:r>
        <w:rPr>
          <w:rFonts w:hint="eastAsia" w:ascii="宋体" w:hAnsi="宋体" w:cs="仿宋_GB2312"/>
          <w:kern w:val="0"/>
          <w:szCs w:val="21"/>
        </w:rPr>
        <w:t>）评标办法；（</w:t>
      </w:r>
      <w:r>
        <w:rPr>
          <w:rFonts w:ascii="宋体" w:hAnsi="宋体" w:cs="TimesNewRomanPSMT"/>
          <w:kern w:val="0"/>
          <w:szCs w:val="21"/>
        </w:rPr>
        <w:t>4</w:t>
      </w:r>
      <w:r>
        <w:rPr>
          <w:rFonts w:hint="eastAsia" w:ascii="宋体" w:hAnsi="宋体" w:cs="仿宋_GB2312"/>
          <w:kern w:val="0"/>
          <w:szCs w:val="21"/>
        </w:rPr>
        <w:t>）合同条款及格式；（</w:t>
      </w:r>
      <w:r>
        <w:rPr>
          <w:rFonts w:ascii="宋体" w:hAnsi="宋体" w:cs="TimesNewRomanPSMT"/>
          <w:kern w:val="0"/>
          <w:szCs w:val="21"/>
        </w:rPr>
        <w:t>5</w:t>
      </w:r>
      <w:r>
        <w:rPr>
          <w:rFonts w:hint="eastAsia" w:ascii="宋体" w:hAnsi="宋体" w:cs="仿宋_GB2312"/>
          <w:kern w:val="0"/>
          <w:szCs w:val="21"/>
        </w:rPr>
        <w:t>）报价取费标准；（</w:t>
      </w:r>
      <w:r>
        <w:rPr>
          <w:rFonts w:ascii="宋体" w:hAnsi="宋体" w:cs="TimesNewRomanPSMT"/>
          <w:kern w:val="0"/>
          <w:szCs w:val="21"/>
        </w:rPr>
        <w:t>6</w:t>
      </w:r>
      <w:r>
        <w:rPr>
          <w:rFonts w:hint="eastAsia" w:ascii="宋体" w:hAnsi="宋体" w:cs="仿宋_GB2312"/>
          <w:kern w:val="0"/>
          <w:szCs w:val="21"/>
        </w:rPr>
        <w:t>）图纸；（</w:t>
      </w:r>
      <w:r>
        <w:rPr>
          <w:rFonts w:ascii="宋体" w:hAnsi="宋体" w:cs="TimesNewRomanPSMT"/>
          <w:kern w:val="0"/>
          <w:szCs w:val="21"/>
        </w:rPr>
        <w:t>7</w:t>
      </w:r>
      <w:r>
        <w:rPr>
          <w:rFonts w:hint="eastAsia" w:ascii="宋体" w:hAnsi="宋体" w:cs="仿宋_GB2312"/>
          <w:kern w:val="0"/>
          <w:szCs w:val="21"/>
        </w:rPr>
        <w:t>）技术标准和要求；（</w:t>
      </w:r>
      <w:r>
        <w:rPr>
          <w:rFonts w:ascii="宋体" w:hAnsi="宋体" w:cs="TimesNewRomanPSMT"/>
          <w:kern w:val="0"/>
          <w:szCs w:val="21"/>
        </w:rPr>
        <w:t>8</w:t>
      </w:r>
      <w:r>
        <w:rPr>
          <w:rFonts w:hint="eastAsia" w:ascii="宋体" w:hAnsi="宋体" w:cs="仿宋_GB2312"/>
          <w:kern w:val="0"/>
          <w:szCs w:val="21"/>
        </w:rPr>
        <w:t>）投标文件格式；（</w:t>
      </w:r>
      <w:r>
        <w:rPr>
          <w:rFonts w:ascii="宋体" w:hAnsi="宋体" w:cs="TimesNewRomanPSMT"/>
          <w:kern w:val="0"/>
          <w:szCs w:val="21"/>
        </w:rPr>
        <w:t>9</w:t>
      </w:r>
      <w:r>
        <w:rPr>
          <w:rFonts w:hint="eastAsia" w:ascii="宋体" w:hAnsi="宋体" w:cs="仿宋_GB2312"/>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kern w:val="0"/>
          <w:szCs w:val="21"/>
        </w:rPr>
        <w:t>投标文件应包括下列内容：《投标函》、《法人授权委托书》、《</w:t>
      </w:r>
      <w:r>
        <w:rPr>
          <w:rFonts w:hint="eastAsia" w:ascii="宋体" w:hAnsi="宋体" w:cs="仿宋_GB2312"/>
          <w:kern w:val="0"/>
          <w:szCs w:val="21"/>
          <w:lang w:val="en-US" w:eastAsia="zh-CN"/>
        </w:rPr>
        <w:t>营业执照</w:t>
      </w:r>
      <w:r>
        <w:rPr>
          <w:rFonts w:hint="eastAsia" w:ascii="宋体" w:hAnsi="宋体" w:cs="仿宋_GB2312"/>
          <w:kern w:val="0"/>
          <w:szCs w:val="21"/>
        </w:rPr>
        <w:t>》、《</w:t>
      </w:r>
      <w:r>
        <w:rPr>
          <w:rFonts w:hint="eastAsia" w:ascii="宋体" w:hAnsi="宋体" w:cs="仿宋_GB2312"/>
          <w:kern w:val="0"/>
          <w:szCs w:val="21"/>
          <w:lang w:val="en-US" w:eastAsia="zh-CN"/>
        </w:rPr>
        <w:t>企业资质</w:t>
      </w:r>
      <w:r>
        <w:rPr>
          <w:rFonts w:hint="eastAsia" w:ascii="宋体" w:hAnsi="宋体" w:cs="仿宋_GB2312"/>
          <w:kern w:val="0"/>
          <w:szCs w:val="21"/>
        </w:rPr>
        <w:t>》、《分包项目管理人员表》、《</w:t>
      </w:r>
      <w:r>
        <w:rPr>
          <w:rFonts w:hint="eastAsia" w:ascii="宋体" w:hAnsi="宋体" w:cs="仿宋_GB2312"/>
          <w:kern w:val="0"/>
          <w:szCs w:val="21"/>
          <w:lang w:val="en-US" w:eastAsia="zh-CN"/>
        </w:rPr>
        <w:t>工程量清单</w:t>
      </w:r>
      <w:r>
        <w:rPr>
          <w:rFonts w:hint="eastAsia" w:ascii="宋体" w:hAnsi="宋体" w:cs="仿宋_GB2312"/>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60" w:lineRule="exact"/>
        <w:textAlignment w:val="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60" w:lineRule="exact"/>
        <w:textAlignment w:val="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u w:val="single"/>
          <w:lang w:val="en-US" w:eastAsia="zh-CN"/>
        </w:rPr>
        <w:t xml:space="preserve"> / </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60" w:lineRule="exact"/>
        <w:textAlignment w:val="auto"/>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5" w:name="_Toc247085733"/>
      <w:bookmarkStart w:id="6" w:name="_Toc246996962"/>
      <w:bookmarkStart w:id="7" w:name="_Toc246996219"/>
      <w:bookmarkStart w:id="8" w:name="_Toc152045575"/>
      <w:bookmarkStart w:id="9" w:name="_Toc152042351"/>
      <w:bookmarkStart w:id="10" w:name="_Toc296590983"/>
      <w:bookmarkStart w:id="11" w:name="_Toc144974543"/>
      <w:bookmarkStart w:id="12" w:name="_Toc296602462"/>
      <w:bookmarkStart w:id="13" w:name="_Toc179632593"/>
      <w:r>
        <w:rPr>
          <w:rFonts w:hint="eastAsia" w:ascii="宋体" w:hAnsi="宋体" w:cs="TimesNewRomanPSMT"/>
          <w:kern w:val="0"/>
          <w:szCs w:val="21"/>
        </w:rPr>
        <w:t>9.1 对招标人的纪律要求</w:t>
      </w:r>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14" w:name="_Toc144974544"/>
      <w:bookmarkStart w:id="15" w:name="_Toc179632594"/>
      <w:bookmarkStart w:id="16" w:name="_Toc246996220"/>
      <w:bookmarkStart w:id="17" w:name="_Toc152042352"/>
      <w:bookmarkStart w:id="18" w:name="_Toc296602463"/>
      <w:bookmarkStart w:id="19" w:name="_Toc246996963"/>
      <w:bookmarkStart w:id="20" w:name="_Toc152045576"/>
      <w:bookmarkStart w:id="21" w:name="_Toc247085734"/>
      <w:r>
        <w:rPr>
          <w:rFonts w:hint="eastAsia" w:ascii="宋体" w:hAnsi="宋体" w:cs="TimesNewRomanPSMT"/>
          <w:kern w:val="0"/>
          <w:szCs w:val="21"/>
        </w:rPr>
        <w:t>9.2 对投标人的纪律要求</w:t>
      </w:r>
      <w:bookmarkEnd w:id="14"/>
      <w:bookmarkEnd w:id="15"/>
      <w:bookmarkEnd w:id="16"/>
      <w:bookmarkEnd w:id="17"/>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22" w:name="_Toc152042353"/>
      <w:bookmarkStart w:id="23" w:name="_Toc144974545"/>
      <w:bookmarkStart w:id="24" w:name="_Toc152045577"/>
      <w:bookmarkStart w:id="25" w:name="_Toc246996964"/>
      <w:bookmarkStart w:id="26" w:name="_Toc179632595"/>
      <w:bookmarkStart w:id="27" w:name="_Toc247085735"/>
      <w:bookmarkStart w:id="28" w:name="_Toc246996221"/>
      <w:bookmarkStart w:id="29" w:name="_Toc296602464"/>
      <w:r>
        <w:rPr>
          <w:rFonts w:hint="eastAsia" w:ascii="宋体" w:hAnsi="宋体" w:cs="TimesNewRomanPSMT"/>
          <w:kern w:val="0"/>
          <w:szCs w:val="21"/>
        </w:rPr>
        <w:t>9.3 对评标委员会成员的纪律要求</w:t>
      </w:r>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0" w:name="_Toc246996222"/>
      <w:bookmarkStart w:id="31" w:name="_Toc247085736"/>
      <w:bookmarkStart w:id="32" w:name="_Toc179632596"/>
      <w:bookmarkStart w:id="33" w:name="_Toc152045578"/>
      <w:bookmarkStart w:id="34" w:name="_Toc296602465"/>
      <w:bookmarkStart w:id="35" w:name="_Toc246996965"/>
      <w:bookmarkStart w:id="36" w:name="_Toc152042354"/>
      <w:bookmarkStart w:id="37" w:name="_Toc144974546"/>
      <w:r>
        <w:rPr>
          <w:rFonts w:hint="eastAsia" w:ascii="宋体" w:hAnsi="宋体" w:cs="TimesNewRomanPSMT"/>
          <w:kern w:val="0"/>
          <w:szCs w:val="21"/>
        </w:rPr>
        <w:t>9.4 对与评标活动有关的工作人员的纪律要求</w:t>
      </w:r>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8"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9" w:name="_Toc152042356"/>
      <w:bookmarkStart w:id="40" w:name="_Toc179632597"/>
      <w:bookmarkStart w:id="41" w:name="_Toc296602466"/>
      <w:bookmarkStart w:id="42" w:name="_Toc246996966"/>
      <w:bookmarkStart w:id="43" w:name="_Toc247085737"/>
      <w:bookmarkStart w:id="44" w:name="_Toc246996223"/>
      <w:bookmarkStart w:id="45" w:name="_Toc152045579"/>
      <w:r>
        <w:rPr>
          <w:rFonts w:hint="eastAsia" w:ascii="宋体" w:hAnsi="宋体" w:cs="TimesNewRomanPSMT"/>
          <w:kern w:val="0"/>
          <w:szCs w:val="21"/>
        </w:rPr>
        <w:t>9.5 投诉</w:t>
      </w:r>
      <w:bookmarkEnd w:id="37"/>
      <w:bookmarkEnd w:id="39"/>
      <w:bookmarkEnd w:id="40"/>
      <w:bookmarkEnd w:id="41"/>
      <w:bookmarkEnd w:id="42"/>
      <w:bookmarkEnd w:id="43"/>
      <w:bookmarkEnd w:id="44"/>
      <w:bookmarkEnd w:id="45"/>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numPr>
          <w:ilvl w:val="0"/>
          <w:numId w:val="3"/>
        </w:numPr>
        <w:spacing w:line="400" w:lineRule="exact"/>
        <w:jc w:val="center"/>
        <w:rPr>
          <w:rFonts w:ascii="宋体" w:hAnsi="宋体" w:cs="TimesNewRomanPSMT"/>
          <w:b/>
          <w:kern w:val="0"/>
          <w:szCs w:val="21"/>
        </w:rPr>
      </w:pPr>
      <w:r>
        <w:rPr>
          <w:rFonts w:hint="eastAsia" w:ascii="宋体" w:hAnsi="宋体" w:cs="TimesNewRomanPSMT"/>
          <w:b/>
          <w:kern w:val="0"/>
          <w:szCs w:val="21"/>
        </w:rPr>
        <w:t>评分办法</w:t>
      </w:r>
    </w:p>
    <w:tbl>
      <w:tblPr>
        <w:tblStyle w:val="12"/>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keepNext w:val="0"/>
        <w:keepLines w:val="0"/>
        <w:pageBreakBefore w:val="0"/>
        <w:widowControl w:val="0"/>
        <w:kinsoku/>
        <w:overflowPunct/>
        <w:topLinePunct w:val="0"/>
        <w:autoSpaceDE w:val="0"/>
        <w:autoSpaceDN w:val="0"/>
        <w:bidi w:val="0"/>
        <w:adjustRightInd w:val="0"/>
        <w:spacing w:line="360" w:lineRule="exact"/>
        <w:jc w:val="center"/>
        <w:rPr>
          <w:rFonts w:ascii="宋体" w:hAnsi="宋体" w:cs="TimesNewRomanPSMT"/>
          <w:b/>
          <w:kern w:val="0"/>
          <w:szCs w:val="21"/>
        </w:rPr>
      </w:pPr>
      <w:r>
        <w:rPr>
          <w:rFonts w:hint="eastAsia" w:ascii="宋体" w:hAnsi="宋体" w:cs="TimesNewRomanPSMT"/>
          <w:b/>
          <w:kern w:val="0"/>
          <w:szCs w:val="21"/>
        </w:rPr>
        <w:t>第四章工程报价及付款</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color w:val="FF0000"/>
          <w:szCs w:val="21"/>
          <w:u w:val="single"/>
        </w:rPr>
        <w:t>固定综合单价，建筑面积*中标综合单价进行结算（建筑面积以最终出图的蓝图为准）</w:t>
      </w:r>
      <w:r>
        <w:rPr>
          <w:rFonts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本工程涉及到的各类砌块、钢筋、砂浆、混凝土、涂料由招标单位提供，其余材料投标人自行负责采购。</w:t>
      </w:r>
      <w:r>
        <w:rPr>
          <w:rFonts w:hint="eastAsia" w:ascii="宋体" w:hAnsi="宋体" w:cs="TimesNewRomanPSMT"/>
          <w:b/>
          <w:bCs/>
          <w:kern w:val="0"/>
          <w:szCs w:val="21"/>
          <w:u w:val="single"/>
        </w:rPr>
        <w:t>招标人提供钢筋、混凝土损耗为</w:t>
      </w:r>
      <w:r>
        <w:rPr>
          <w:rFonts w:hint="eastAsia" w:ascii="宋体" w:hAnsi="宋体" w:cs="TimesNewRomanPSMT"/>
          <w:b/>
          <w:bCs/>
          <w:color w:val="FF0000"/>
          <w:kern w:val="0"/>
          <w:szCs w:val="21"/>
          <w:u w:val="single"/>
        </w:rPr>
        <w:t>1</w:t>
      </w:r>
      <w:r>
        <w:rPr>
          <w:rFonts w:hint="eastAsia" w:ascii="宋体" w:hAnsi="宋体" w:cs="TimesNewRomanPSMT"/>
          <w:b/>
          <w:bCs/>
          <w:kern w:val="0"/>
          <w:szCs w:val="21"/>
          <w:u w:val="single"/>
        </w:rPr>
        <w:t>%，其它设备、材料损耗按照浙江省消耗量定额2010版中的相关损耗率计取，</w:t>
      </w:r>
      <w:r>
        <w:rPr>
          <w:rFonts w:ascii="宋体" w:hAnsi="宋体" w:cs="TimesNewRomanPSMT"/>
          <w:b/>
          <w:bCs/>
          <w:kern w:val="0"/>
          <w:szCs w:val="21"/>
          <w:u w:val="single"/>
        </w:rPr>
        <w:t>投标人若超额领用</w:t>
      </w:r>
      <w:r>
        <w:rPr>
          <w:rFonts w:hint="eastAsia" w:ascii="宋体" w:hAnsi="宋体" w:cs="TimesNewRomanPSMT"/>
          <w:b/>
          <w:bCs/>
          <w:kern w:val="0"/>
          <w:szCs w:val="21"/>
        </w:rPr>
        <w:t>，</w:t>
      </w:r>
      <w:r>
        <w:rPr>
          <w:rFonts w:ascii="宋体" w:hAnsi="宋体" w:cs="TimesNewRomanPSMT"/>
          <w:b/>
          <w:bCs/>
          <w:kern w:val="0"/>
          <w:szCs w:val="21"/>
        </w:rPr>
        <w:t>其超出部分从投标人应得工程进度款及结算款中扣除</w:t>
      </w:r>
      <w:r>
        <w:rPr>
          <w:rFonts w:hint="eastAsia" w:ascii="宋体" w:hAnsi="宋体" w:cs="TimesNewRomanPSMT"/>
          <w:b/>
          <w:bCs/>
          <w:kern w:val="0"/>
          <w:szCs w:val="21"/>
        </w:rPr>
        <w:t>（超领甲供料按施工期间采购价或信息价上浮20%扣除）。</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 严重违约退场</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keepNext w:val="0"/>
        <w:keepLines w:val="0"/>
        <w:pageBreakBefore w:val="0"/>
        <w:widowControl w:val="0"/>
        <w:tabs>
          <w:tab w:val="left" w:pos="1050"/>
        </w:tabs>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keepNext w:val="0"/>
        <w:keepLines w:val="0"/>
        <w:pageBreakBefore w:val="0"/>
        <w:widowControl w:val="0"/>
        <w:tabs>
          <w:tab w:val="left" w:pos="1050"/>
        </w:tabs>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keepNext w:val="0"/>
        <w:keepLines w:val="0"/>
        <w:pageBreakBefore w:val="0"/>
        <w:widowControl w:val="0"/>
        <w:tabs>
          <w:tab w:val="left" w:pos="1050"/>
        </w:tabs>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keepNext w:val="0"/>
        <w:keepLines w:val="0"/>
        <w:pageBreakBefore w:val="0"/>
        <w:widowControl w:val="0"/>
        <w:tabs>
          <w:tab w:val="left" w:pos="1050"/>
        </w:tabs>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keepNext w:val="0"/>
        <w:keepLines w:val="0"/>
        <w:pageBreakBefore w:val="0"/>
        <w:widowControl w:val="0"/>
        <w:kinsoku/>
        <w:wordWrap w:val="0"/>
        <w:overflowPunct/>
        <w:topLinePunct w:val="0"/>
        <w:bidi w:val="0"/>
        <w:adjustRightInd w:val="0"/>
        <w:snapToGrid w:val="0"/>
        <w:spacing w:line="360" w:lineRule="exact"/>
        <w:jc w:val="left"/>
        <w:rPr>
          <w:rFonts w:ascii="宋体" w:hAnsi="宋体" w:cs="宋体"/>
          <w:b/>
          <w:color w:val="FF0000"/>
          <w:szCs w:val="21"/>
          <w:u w:val="single"/>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r>
        <w:rPr>
          <w:rFonts w:hint="eastAsia" w:ascii="宋体" w:hAnsi="宋体" w:cs="宋体"/>
          <w:b/>
          <w:color w:val="FF0000"/>
          <w:szCs w:val="21"/>
          <w:u w:val="single"/>
        </w:rPr>
        <w:t>地下室顶板浇筑完成付至完成工程量中间结算计量的60%，主体框架结构完成付至完成工程量中间结算计量的60%，二次结构完成付至完成工程量中间结算计量的60%，二次装饰工程完成付至完成工程量中间结算计量的60%，工程完工通过竣工验收后付至完成工程量中间结算计量的60%，结算审计完成后支付至实际完成工程量中间结算计量的80%，缺陷责任期满后以最终结算价付清（不计息）。提交1.5%质量保证金待竣工验收合格满两年且审计完成后付清。过程中如有工程量变更应及时结算支付；整体工程竣工验收合格后，承包人履行了全部合同约定且提交竣工结算资料后，发包人在竣工验收合格后10日内全额返还（合同工期一年以上的工程可以分年度或施工形象进度缴纳）履约保证金（无息）。</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hint="eastAsia" w:ascii="宋体" w:hAnsi="宋体" w:eastAsia="宋体" w:cs="宋体"/>
          <w:b/>
          <w:color w:val="FF0000"/>
          <w:kern w:val="2"/>
          <w:sz w:val="21"/>
          <w:szCs w:val="21"/>
          <w:u w:val="single"/>
          <w:lang w:val="en-US" w:eastAsia="zh-CN" w:bidi="ar-SA"/>
        </w:rPr>
      </w:pPr>
      <w:r>
        <w:rPr>
          <w:rFonts w:hint="eastAsia" w:ascii="宋体" w:hAnsi="宋体" w:eastAsia="宋体" w:cs="宋体"/>
          <w:b/>
          <w:color w:val="FF0000"/>
          <w:kern w:val="2"/>
          <w:sz w:val="21"/>
          <w:szCs w:val="21"/>
          <w:u w:val="single"/>
          <w:lang w:val="en-US" w:eastAsia="zh-CN" w:bidi="ar-SA"/>
        </w:rPr>
        <w:t>中标人每月25日前上报当月人工工资表，经招标人审核确认后进行支付民工工资。</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 关于措施费（开办费）：</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2.8.2  措施费（开办费）包括（但不限于）以下内容组成：</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通用项目：</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f)施工机械进出场及安拆措施费。</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3.5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3.6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3.7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3.8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3.9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 投标人特殊作业人员要持证上岗，工种搭配合理；</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Cs/>
          <w:kern w:val="0"/>
          <w:szCs w:val="21"/>
        </w:rPr>
      </w:pPr>
      <w:r>
        <w:rPr>
          <w:rFonts w:hint="eastAsia" w:ascii="宋体" w:hAnsi="宋体" w:cs="TimesNewRomanPSMT"/>
          <w:bCs/>
          <w:kern w:val="0"/>
          <w:szCs w:val="21"/>
        </w:rPr>
        <w:t>3.10 除非设计变更造成的返工，否则现场不予签证；</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Cs/>
          <w:kern w:val="0"/>
          <w:szCs w:val="21"/>
        </w:rPr>
      </w:pPr>
      <w:r>
        <w:rPr>
          <w:rFonts w:hint="eastAsia" w:ascii="宋体" w:hAnsi="宋体" w:cs="TimesNewRomanPSMT"/>
          <w:bCs/>
          <w:kern w:val="0"/>
          <w:szCs w:val="21"/>
        </w:rPr>
        <w:t>3.11 单项设计变更金额小于2000元人民币，或累计设计变更不足分包合同金额的2％时，结算价款不予调整。</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3.12投标人必须按时发放民工生活费，不得无故上访讨薪或发生民工上访讨薪事件，否则每发生一起扣除5000元，民工工资履约保证金扣完后则直接在工程款中进行扣除。</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3.13投标人一旦中标后须按甲方要求进行场地平整、道路浇筑、冲洗设施安装调试管理等工作（其中砼、冲洗设施设备由招标人提供），上述费用包含在投标报价中，实际发生时不在另计。</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3.14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3.15 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须承诺旧馆卫生院项目按照评飞英杯工程奖的标准展开施工），中标人承诺将严格按照要求组织施工，直至工程验收合格并交付为止，否则由此对招标人造成的一切责任和损失由中标人承担。</w:t>
      </w:r>
    </w:p>
    <w:p>
      <w:pPr>
        <w:pStyle w:val="2"/>
        <w:keepNext w:val="0"/>
        <w:keepLines w:val="0"/>
        <w:pageBreakBefore w:val="0"/>
        <w:widowControl w:val="0"/>
        <w:kinsoku/>
        <w:overflowPunct/>
        <w:topLinePunct w:val="0"/>
        <w:bidi w:val="0"/>
        <w:spacing w:line="360" w:lineRule="exact"/>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3.16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keepNext w:val="0"/>
        <w:keepLines w:val="0"/>
        <w:pageBreakBefore w:val="0"/>
        <w:widowControl w:val="0"/>
        <w:kinsoku/>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3.17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keepNext w:val="0"/>
        <w:keepLines w:val="0"/>
        <w:pageBreakBefore w:val="0"/>
        <w:widowControl w:val="0"/>
        <w:kinsoku/>
        <w:overflowPunct/>
        <w:topLinePunct w:val="0"/>
        <w:bidi w:val="0"/>
        <w:spacing w:line="360" w:lineRule="exact"/>
        <w:ind w:left="0" w:leftChars="0" w:right="63" w:firstLine="0" w:firstLineChars="0"/>
        <w:jc w:val="both"/>
        <w:rPr>
          <w:color w:val="00B050"/>
        </w:rPr>
      </w:pPr>
      <w:r>
        <w:rPr>
          <w:rFonts w:hint="eastAsia" w:ascii="宋体" w:hAnsi="宋体" w:cs="TimesNewRomanPSMT"/>
          <w:bCs/>
          <w:color w:val="00B050"/>
          <w:sz w:val="21"/>
          <w:szCs w:val="21"/>
        </w:rPr>
        <w:t>3.18投标人一旦中标后，服从甲方管理，全力配合甲方完成招标范围内的全部施工内容及其它相应内容，直至消防竣工验收完成。投标人在投标报价是须充分考虑此项费用，实际发生时不予额外计量。</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详见报价书。</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TimesNewRomanPSMT"/>
          <w:kern w:val="0"/>
          <w:szCs w:val="21"/>
        </w:rPr>
      </w:pPr>
    </w:p>
    <w:p>
      <w:pPr>
        <w:keepNext w:val="0"/>
        <w:keepLines w:val="0"/>
        <w:pageBreakBefore w:val="0"/>
        <w:widowControl w:val="0"/>
        <w:kinsoku/>
        <w:overflowPunct/>
        <w:topLinePunct w:val="0"/>
        <w:autoSpaceDE w:val="0"/>
        <w:autoSpaceDN w:val="0"/>
        <w:bidi w:val="0"/>
        <w:adjustRightInd w:val="0"/>
        <w:spacing w:line="360" w:lineRule="exact"/>
        <w:jc w:val="center"/>
        <w:rPr>
          <w:rFonts w:ascii="宋体" w:hAnsi="宋体" w:cs="黑体"/>
          <w:b/>
          <w:kern w:val="0"/>
          <w:szCs w:val="21"/>
        </w:rPr>
      </w:pPr>
    </w:p>
    <w:p>
      <w:pPr>
        <w:keepNext w:val="0"/>
        <w:keepLines w:val="0"/>
        <w:pageBreakBefore w:val="0"/>
        <w:widowControl w:val="0"/>
        <w:kinsoku/>
        <w:overflowPunct/>
        <w:topLinePunct w:val="0"/>
        <w:autoSpaceDE w:val="0"/>
        <w:autoSpaceDN w:val="0"/>
        <w:bidi w:val="0"/>
        <w:adjustRightInd w:val="0"/>
        <w:spacing w:line="360" w:lineRule="exact"/>
        <w:jc w:val="center"/>
        <w:rPr>
          <w:rFonts w:ascii="宋体" w:hAnsi="宋体" w:cs="黑体"/>
          <w:b/>
          <w:kern w:val="0"/>
          <w:szCs w:val="21"/>
        </w:rPr>
      </w:pPr>
    </w:p>
    <w:p>
      <w:pPr>
        <w:keepNext w:val="0"/>
        <w:keepLines w:val="0"/>
        <w:pageBreakBefore w:val="0"/>
        <w:widowControl w:val="0"/>
        <w:kinsoku/>
        <w:overflowPunct/>
        <w:topLinePunct w:val="0"/>
        <w:autoSpaceDE w:val="0"/>
        <w:autoSpaceDN w:val="0"/>
        <w:bidi w:val="0"/>
        <w:adjustRightInd w:val="0"/>
        <w:spacing w:line="360" w:lineRule="exact"/>
        <w:jc w:val="center"/>
        <w:rPr>
          <w:rFonts w:ascii="宋体" w:hAnsi="宋体" w:cs="黑体"/>
          <w:b/>
          <w:kern w:val="0"/>
          <w:szCs w:val="21"/>
        </w:rPr>
      </w:pPr>
    </w:p>
    <w:p>
      <w:pPr>
        <w:keepNext w:val="0"/>
        <w:keepLines w:val="0"/>
        <w:pageBreakBefore w:val="0"/>
        <w:widowControl w:val="0"/>
        <w:kinsoku/>
        <w:overflowPunct/>
        <w:topLinePunct w:val="0"/>
        <w:autoSpaceDE w:val="0"/>
        <w:autoSpaceDN w:val="0"/>
        <w:bidi w:val="0"/>
        <w:adjustRightInd w:val="0"/>
        <w:spacing w:line="360" w:lineRule="exact"/>
        <w:rPr>
          <w:rFonts w:ascii="宋体" w:hAnsi="宋体" w:cs="黑体"/>
          <w:b/>
          <w:kern w:val="0"/>
          <w:szCs w:val="21"/>
        </w:rPr>
      </w:pPr>
    </w:p>
    <w:p>
      <w:pPr>
        <w:keepNext w:val="0"/>
        <w:keepLines w:val="0"/>
        <w:pageBreakBefore w:val="0"/>
        <w:widowControl w:val="0"/>
        <w:kinsoku/>
        <w:overflowPunct/>
        <w:topLinePunct w:val="0"/>
        <w:autoSpaceDE w:val="0"/>
        <w:autoSpaceDN w:val="0"/>
        <w:bidi w:val="0"/>
        <w:adjustRightInd w:val="0"/>
        <w:spacing w:line="360" w:lineRule="exact"/>
        <w:jc w:val="center"/>
        <w:rPr>
          <w:rFonts w:ascii="宋体" w:hAnsi="宋体" w:cs="黑体"/>
          <w:b/>
          <w:kern w:val="0"/>
          <w:szCs w:val="21"/>
        </w:rPr>
      </w:pPr>
      <w:r>
        <w:rPr>
          <w:rFonts w:hint="eastAsia" w:ascii="宋体" w:hAnsi="宋体" w:cs="黑体"/>
          <w:b/>
          <w:kern w:val="0"/>
          <w:szCs w:val="21"/>
        </w:rPr>
        <w:t>第五章</w:t>
      </w:r>
      <w:bookmarkStart w:id="46" w:name="投标文件格式"/>
      <w:r>
        <w:rPr>
          <w:rFonts w:hint="eastAsia" w:ascii="宋体" w:hAnsi="宋体" w:cs="黑体"/>
          <w:b/>
          <w:kern w:val="0"/>
          <w:szCs w:val="21"/>
        </w:rPr>
        <w:t>投标文件</w:t>
      </w:r>
      <w:bookmarkEnd w:id="46"/>
      <w:r>
        <w:rPr>
          <w:rFonts w:hint="eastAsia" w:ascii="宋体" w:hAnsi="宋体" w:cs="黑体"/>
          <w:b/>
          <w:kern w:val="0"/>
          <w:szCs w:val="21"/>
        </w:rPr>
        <w:t>目录</w:t>
      </w:r>
    </w:p>
    <w:p>
      <w:pPr>
        <w:keepNext w:val="0"/>
        <w:keepLines w:val="0"/>
        <w:pageBreakBefore w:val="0"/>
        <w:widowControl w:val="0"/>
        <w:kinsoku/>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rPr>
        <w:t>一、《投标函》</w:t>
      </w:r>
    </w:p>
    <w:p>
      <w:pPr>
        <w:keepNext w:val="0"/>
        <w:keepLines w:val="0"/>
        <w:pageBreakBefore w:val="0"/>
        <w:widowControl w:val="0"/>
        <w:kinsoku/>
        <w:overflowPunct/>
        <w:topLinePunct w:val="0"/>
        <w:autoSpaceDE w:val="0"/>
        <w:autoSpaceDN w:val="0"/>
        <w:bidi w:val="0"/>
        <w:adjustRightInd w:val="0"/>
        <w:spacing w:line="360" w:lineRule="exact"/>
        <w:jc w:val="left"/>
        <w:rPr>
          <w:rFonts w:ascii="宋体" w:hAnsi="宋体" w:cs="仿宋_GB2312"/>
          <w:kern w:val="0"/>
          <w:szCs w:val="21"/>
        </w:rPr>
      </w:pPr>
      <w:r>
        <w:rPr>
          <w:rFonts w:hint="eastAsia" w:ascii="宋体" w:hAnsi="宋体" w:cs="仿宋_GB2312"/>
          <w:kern w:val="0"/>
          <w:szCs w:val="21"/>
        </w:rPr>
        <w:t>二、《法人授权委托书》</w:t>
      </w:r>
    </w:p>
    <w:p>
      <w:pPr>
        <w:keepNext w:val="0"/>
        <w:keepLines w:val="0"/>
        <w:pageBreakBefore w:val="0"/>
        <w:widowControl w:val="0"/>
        <w:kinsoku/>
        <w:overflowPunct/>
        <w:topLinePunct w:val="0"/>
        <w:bidi w:val="0"/>
        <w:spacing w:line="360" w:lineRule="exact"/>
        <w:jc w:val="left"/>
        <w:rPr>
          <w:rFonts w:hint="eastAsia" w:ascii="宋体" w:hAnsi="宋体" w:cs="仿宋_GB2312"/>
          <w:kern w:val="0"/>
          <w:szCs w:val="21"/>
        </w:rPr>
      </w:pPr>
      <w:r>
        <w:rPr>
          <w:rFonts w:hint="eastAsia" w:ascii="宋体" w:hAnsi="宋体" w:cs="仿宋_GB2312"/>
          <w:kern w:val="0"/>
          <w:szCs w:val="21"/>
        </w:rPr>
        <w:t>四、《</w:t>
      </w:r>
      <w:r>
        <w:rPr>
          <w:rFonts w:hint="eastAsia" w:ascii="宋体" w:hAnsi="宋体" w:cs="仿宋_GB2312"/>
          <w:kern w:val="0"/>
          <w:szCs w:val="21"/>
          <w:lang w:val="en-US" w:eastAsia="zh-CN"/>
        </w:rPr>
        <w:t>营业执照</w:t>
      </w:r>
      <w:r>
        <w:rPr>
          <w:rFonts w:hint="eastAsia" w:ascii="宋体" w:hAnsi="宋体" w:cs="仿宋_GB2312"/>
          <w:kern w:val="0"/>
          <w:szCs w:val="21"/>
        </w:rPr>
        <w:t>》</w:t>
      </w:r>
    </w:p>
    <w:p>
      <w:pPr>
        <w:keepNext w:val="0"/>
        <w:keepLines w:val="0"/>
        <w:pageBreakBefore w:val="0"/>
        <w:widowControl w:val="0"/>
        <w:kinsoku/>
        <w:overflowPunct/>
        <w:topLinePunct w:val="0"/>
        <w:bidi w:val="0"/>
        <w:spacing w:line="360" w:lineRule="exact"/>
        <w:jc w:val="left"/>
      </w:pPr>
      <w:r>
        <w:rPr>
          <w:rFonts w:hint="eastAsia" w:ascii="宋体" w:hAnsi="宋体" w:cs="仿宋_GB2312"/>
          <w:kern w:val="0"/>
          <w:szCs w:val="21"/>
          <w:lang w:val="en-US" w:eastAsia="zh-CN"/>
        </w:rPr>
        <w:t>五</w:t>
      </w:r>
      <w:r>
        <w:rPr>
          <w:rFonts w:hint="eastAsia" w:ascii="宋体" w:hAnsi="宋体" w:cs="仿宋_GB2312"/>
          <w:kern w:val="0"/>
          <w:szCs w:val="21"/>
        </w:rPr>
        <w:t>、《</w:t>
      </w:r>
      <w:r>
        <w:rPr>
          <w:rFonts w:hint="eastAsia" w:ascii="宋体" w:hAnsi="宋体" w:cs="仿宋_GB2312"/>
          <w:kern w:val="0"/>
          <w:szCs w:val="21"/>
          <w:lang w:val="en-US" w:eastAsia="zh-CN"/>
        </w:rPr>
        <w:t>营企业资质</w:t>
      </w:r>
      <w:r>
        <w:rPr>
          <w:rFonts w:hint="eastAsia" w:ascii="宋体" w:hAnsi="宋体" w:cs="仿宋_GB2312"/>
          <w:kern w:val="0"/>
          <w:szCs w:val="21"/>
        </w:rPr>
        <w:t>》</w:t>
      </w:r>
    </w:p>
    <w:p>
      <w:pPr>
        <w:keepNext w:val="0"/>
        <w:keepLines w:val="0"/>
        <w:pageBreakBefore w:val="0"/>
        <w:widowControl w:val="0"/>
        <w:kinsoku/>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keepNext w:val="0"/>
        <w:keepLines w:val="0"/>
        <w:pageBreakBefore w:val="0"/>
        <w:widowControl w:val="0"/>
        <w:kinsoku/>
        <w:overflowPunct/>
        <w:topLinePunct w:val="0"/>
        <w:bidi w:val="0"/>
        <w:spacing w:line="360" w:lineRule="exact"/>
        <w:jc w:val="left"/>
        <w:rPr>
          <w:rFonts w:ascii="宋体" w:hAnsi="宋体" w:cs="宋体"/>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w:t>
      </w:r>
      <w:r>
        <w:rPr>
          <w:rFonts w:hint="eastAsia" w:ascii="宋体" w:hAnsi="宋体" w:cs="仿宋_GB2312"/>
          <w:kern w:val="0"/>
          <w:szCs w:val="21"/>
          <w:lang w:val="en-US" w:eastAsia="zh-CN"/>
        </w:rPr>
        <w:t>工程量清单</w:t>
      </w:r>
      <w:r>
        <w:rPr>
          <w:rFonts w:hint="eastAsia" w:ascii="宋体" w:hAnsi="宋体" w:cs="仿宋_GB2312"/>
          <w:kern w:val="0"/>
          <w:szCs w:val="21"/>
        </w:rPr>
        <w:t>》</w:t>
      </w:r>
    </w:p>
    <w:p>
      <w:pPr>
        <w:spacing w:line="360" w:lineRule="auto"/>
        <w:jc w:val="left"/>
        <w:rPr>
          <w:szCs w:val="21"/>
        </w:rPr>
      </w:pP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rPr>
          <w:rFonts w:ascii="仿宋" w:hAnsi="仿宋" w:eastAsia="仿宋"/>
          <w:sz w:val="32"/>
          <w:szCs w:val="32"/>
        </w:rPr>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pStyle w:val="2"/>
        <w:ind w:left="63" w:right="63" w:firstLine="200"/>
      </w:pPr>
    </w:p>
    <w:p>
      <w:pPr>
        <w:rPr>
          <w:rFonts w:ascii="仿宋" w:hAnsi="仿宋" w:eastAsia="仿宋"/>
          <w:sz w:val="32"/>
          <w:szCs w:val="32"/>
        </w:rPr>
      </w:pPr>
      <w:r>
        <w:rPr>
          <w:rFonts w:hint="eastAsia" w:ascii="仿宋" w:hAnsi="仿宋" w:eastAsia="仿宋"/>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rPr>
          <w:rFonts w:ascii="仿宋" w:hAnsi="仿宋" w:eastAsia="仿宋"/>
          <w:sz w:val="28"/>
          <w:szCs w:val="28"/>
        </w:rPr>
      </w:pPr>
      <w:r>
        <w:rPr>
          <w:rFonts w:hint="eastAsia" w:ascii="仿宋" w:hAnsi="仿宋" w:eastAsia="仿宋"/>
          <w:sz w:val="28"/>
          <w:szCs w:val="28"/>
        </w:rPr>
        <w:t>湖州南浔城投城市建设集团有限公司：</w:t>
      </w:r>
    </w:p>
    <w:p>
      <w:pPr>
        <w:ind w:firstLine="560" w:firstLineChars="200"/>
        <w:rPr>
          <w:rFonts w:ascii="仿宋" w:hAnsi="仿宋" w:eastAsia="仿宋"/>
          <w:sz w:val="28"/>
          <w:szCs w:val="28"/>
        </w:rPr>
      </w:pPr>
      <w:r>
        <w:rPr>
          <w:rFonts w:hint="eastAsia" w:ascii="仿宋" w:hAnsi="仿宋" w:eastAsia="仿宋"/>
          <w:sz w:val="28"/>
          <w:szCs w:val="28"/>
        </w:rPr>
        <w:t>我单位对</w:t>
      </w:r>
      <w:r>
        <w:rPr>
          <w:rFonts w:hint="eastAsia" w:ascii="仿宋" w:hAnsi="仿宋" w:eastAsia="仿宋"/>
          <w:color w:val="FF0000"/>
          <w:sz w:val="28"/>
          <w:szCs w:val="28"/>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r>
        <w:rPr>
          <w:rFonts w:hint="eastAsia" w:ascii="仿宋" w:hAnsi="仿宋" w:eastAsia="仿宋"/>
          <w:sz w:val="28"/>
          <w:szCs w:val="28"/>
        </w:rPr>
        <w:t>招标文件进行了研究，决定对该标段中内容进行投标，并愿意承担投标文件中规定的所有义务，我们本标段的投标总金额</w:t>
      </w:r>
      <w:r>
        <w:rPr>
          <w:rFonts w:hint="eastAsia" w:ascii="仿宋" w:hAnsi="仿宋" w:eastAsia="仿宋"/>
          <w:sz w:val="28"/>
          <w:szCs w:val="28"/>
          <w:u w:val="single"/>
        </w:rPr>
        <w:t xml:space="preserve">      </w:t>
      </w:r>
      <w:r>
        <w:rPr>
          <w:rFonts w:hint="eastAsia" w:ascii="仿宋" w:hAnsi="仿宋" w:eastAsia="仿宋"/>
          <w:sz w:val="28"/>
          <w:szCs w:val="28"/>
        </w:rPr>
        <w:t>元（大写</w:t>
      </w:r>
      <w:r>
        <w:rPr>
          <w:rFonts w:hint="eastAsia" w:ascii="仿宋" w:hAnsi="仿宋" w:eastAsia="仿宋"/>
          <w:sz w:val="28"/>
          <w:szCs w:val="28"/>
          <w:lang w:val="en-US" w:eastAsia="zh-CN"/>
        </w:rPr>
        <w:t>金额：</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w:t>
      </w:r>
    </w:p>
    <w:p>
      <w:pPr>
        <w:ind w:firstLine="645"/>
        <w:rPr>
          <w:rFonts w:ascii="仿宋" w:hAnsi="仿宋" w:eastAsia="仿宋"/>
          <w:sz w:val="28"/>
          <w:szCs w:val="28"/>
        </w:rPr>
      </w:pPr>
      <w:r>
        <w:rPr>
          <w:rFonts w:hint="eastAsia" w:ascii="仿宋" w:hAnsi="仿宋" w:eastAsia="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28"/>
          <w:szCs w:val="28"/>
        </w:rPr>
      </w:pPr>
    </w:p>
    <w:p>
      <w:pPr>
        <w:pStyle w:val="2"/>
        <w:ind w:left="63" w:right="63" w:firstLine="200"/>
        <w:rPr>
          <w:sz w:val="28"/>
          <w:szCs w:val="28"/>
        </w:rPr>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32"/>
          <w:szCs w:val="32"/>
        </w:rPr>
      </w:pPr>
    </w:p>
    <w:p>
      <w:pPr>
        <w:pStyle w:val="2"/>
        <w:ind w:left="0" w:leftChars="0" w:right="63" w:firstLine="0" w:firstLineChars="0"/>
        <w:jc w:val="left"/>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pP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附件2</w:t>
      </w:r>
    </w:p>
    <w:p>
      <w:pPr>
        <w:spacing w:line="360" w:lineRule="auto"/>
        <w:ind w:firstLine="144" w:firstLineChars="45"/>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28"/>
          <w:szCs w:val="28"/>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 w:val="28"/>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2"/>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b w:val="0"/>
                <w:bCs w:val="0"/>
              </w:rPr>
            </w:pPr>
          </w:p>
        </w:tc>
        <w:tc>
          <w:tcPr>
            <w:tcW w:w="5200" w:type="dxa"/>
          </w:tcPr>
          <w:p>
            <w:pPr>
              <w:spacing w:line="360" w:lineRule="auto"/>
              <w:rPr>
                <w:b w:val="0"/>
                <w:bCs w:val="0"/>
              </w:rPr>
            </w:pPr>
          </w:p>
        </w:tc>
      </w:tr>
    </w:tbl>
    <w:p/>
    <w:p/>
    <w:p>
      <w:pPr>
        <w:pStyle w:val="2"/>
      </w:pPr>
    </w:p>
    <w:p>
      <w:pPr>
        <w:pStyle w:val="2"/>
      </w:pPr>
    </w:p>
    <w:p>
      <w:pPr>
        <w:pStyle w:val="2"/>
      </w:pPr>
    </w:p>
    <w:p>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pPr>
        <w:wordWrap w:val="0"/>
        <w:spacing w:beforeLines="50" w:afterLines="50" w:line="44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分包人项目管理人员表</w:t>
      </w:r>
    </w:p>
    <w:p>
      <w:pPr>
        <w:pStyle w:val="2"/>
        <w:ind w:left="63" w:right="63" w:firstLine="240"/>
        <w:jc w:val="lef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工程名称：</w:t>
      </w:r>
    </w:p>
    <w:tbl>
      <w:tblPr>
        <w:tblStyle w:val="1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分包人项目经理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项目副经理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技术负责人</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造价管理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质量管理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材料管理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计划管理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安全管理</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其他人员</w:t>
            </w: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418"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nil"/>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8" w:hRule="atLeast"/>
          <w:jc w:val="center"/>
        </w:trPr>
        <w:tc>
          <w:tcPr>
            <w:tcW w:w="1871"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418"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418"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1134"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c>
          <w:tcPr>
            <w:tcW w:w="4252" w:type="dxa"/>
            <w:tcBorders>
              <w:bottom w:val="single" w:color="auto" w:sz="12" w:space="0"/>
            </w:tcBorders>
            <w:vAlign w:val="center"/>
          </w:tcPr>
          <w:p>
            <w:pPr>
              <w:pStyle w:val="3"/>
              <w:keepNext/>
              <w:wordWrap w:val="0"/>
              <w:spacing w:after="0" w:line="440" w:lineRule="exact"/>
              <w:ind w:left="63" w:right="63"/>
              <w:rPr>
                <w:rFonts w:hint="eastAsia" w:ascii="仿宋" w:hAnsi="仿宋" w:eastAsia="仿宋" w:cs="仿宋"/>
                <w:color w:val="000000"/>
                <w:kern w:val="2"/>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注：附上人员相对应证件。</w:t>
      </w:r>
    </w:p>
    <w:p>
      <w:pPr>
        <w:pStyle w:val="2"/>
        <w:ind w:left="63" w:right="63" w:firstLine="200"/>
        <w:rPr>
          <w:rFonts w:hint="eastAsia" w:ascii="仿宋" w:hAnsi="仿宋" w:eastAsia="仿宋" w:cs="仿宋"/>
          <w:sz w:val="28"/>
          <w:szCs w:val="28"/>
        </w:rPr>
      </w:pPr>
    </w:p>
    <w:p>
      <w:pPr>
        <w:pStyle w:val="2"/>
        <w:ind w:left="63" w:right="63" w:firstLine="200"/>
        <w:rPr>
          <w:rFonts w:hint="eastAsia" w:ascii="仿宋" w:hAnsi="仿宋" w:eastAsia="仿宋" w:cs="仿宋"/>
          <w:sz w:val="28"/>
          <w:szCs w:val="28"/>
        </w:rPr>
      </w:pPr>
    </w:p>
    <w:p>
      <w:pPr>
        <w:pStyle w:val="2"/>
        <w:ind w:left="63" w:right="63" w:firstLine="200"/>
        <w:rPr>
          <w:rFonts w:hint="eastAsia" w:ascii="仿宋" w:hAnsi="仿宋" w:eastAsia="仿宋" w:cs="仿宋"/>
          <w:sz w:val="28"/>
          <w:szCs w:val="28"/>
        </w:rPr>
      </w:pPr>
    </w:p>
    <w:p>
      <w:pPr>
        <w:pStyle w:val="2"/>
        <w:ind w:left="63" w:right="63" w:firstLine="200"/>
        <w:rPr>
          <w:rFonts w:hint="eastAsia" w:ascii="仿宋" w:hAnsi="仿宋" w:eastAsia="仿宋" w:cs="仿宋"/>
          <w:sz w:val="28"/>
          <w:szCs w:val="28"/>
        </w:rPr>
      </w:pPr>
    </w:p>
    <w:p>
      <w:pPr>
        <w:pStyle w:val="2"/>
        <w:ind w:left="63" w:right="63" w:firstLine="200"/>
        <w:rPr>
          <w:rFonts w:hint="eastAsia" w:ascii="仿宋" w:hAnsi="仿宋" w:eastAsia="仿宋" w:cs="仿宋"/>
          <w:sz w:val="28"/>
          <w:szCs w:val="28"/>
        </w:rPr>
        <w:sectPr>
          <w:headerReference r:id="rId3" w:type="default"/>
          <w:footerReference r:id="rId4" w:type="default"/>
          <w:pgSz w:w="11906" w:h="16838"/>
          <w:pgMar w:top="720" w:right="720" w:bottom="720" w:left="720" w:header="851" w:footer="992" w:gutter="0"/>
          <w:cols w:space="425" w:num="1"/>
          <w:docGrid w:type="lines" w:linePitch="312" w:charSpace="0"/>
        </w:sectPr>
      </w:pPr>
    </w:p>
    <w:tbl>
      <w:tblPr>
        <w:tblStyle w:val="12"/>
        <w:tblW w:w="15160" w:type="dxa"/>
        <w:tblInd w:w="93" w:type="dxa"/>
        <w:shd w:val="clear" w:color="auto" w:fill="auto"/>
        <w:tblLayout w:type="autofit"/>
        <w:tblCellMar>
          <w:top w:w="0" w:type="dxa"/>
          <w:left w:w="108" w:type="dxa"/>
          <w:bottom w:w="0" w:type="dxa"/>
          <w:right w:w="108" w:type="dxa"/>
        </w:tblCellMar>
      </w:tblPr>
      <w:tblGrid>
        <w:gridCol w:w="962"/>
        <w:gridCol w:w="1225"/>
        <w:gridCol w:w="5765"/>
        <w:gridCol w:w="2107"/>
        <w:gridCol w:w="1643"/>
        <w:gridCol w:w="1715"/>
        <w:gridCol w:w="1743"/>
      </w:tblGrid>
      <w:tr>
        <w:tblPrEx>
          <w:tblCellMar>
            <w:top w:w="0" w:type="dxa"/>
            <w:left w:w="108" w:type="dxa"/>
            <w:bottom w:w="0" w:type="dxa"/>
            <w:right w:w="108" w:type="dxa"/>
          </w:tblCellMar>
        </w:tblPrEx>
        <w:trPr>
          <w:trHeight w:val="841" w:hRule="atLeast"/>
        </w:trPr>
        <w:tc>
          <w:tcPr>
            <w:tcW w:w="1516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附件4：                                                  </w:t>
            </w:r>
            <w:r>
              <w:rPr>
                <w:rFonts w:hint="eastAsia"/>
                <w:sz w:val="32"/>
                <w:szCs w:val="32"/>
                <w:lang w:val="en-US" w:eastAsia="zh-CN"/>
              </w:rPr>
              <w:t>工程量清单</w:t>
            </w:r>
          </w:p>
          <w:p>
            <w:pPr>
              <w:pStyle w:val="2"/>
              <w:ind w:left="39" w:leftChars="0" w:hanging="39" w:hangingChars="22"/>
              <w:jc w:val="left"/>
              <w:rPr>
                <w:rFonts w:hint="default"/>
                <w:lang w:val="en-US"/>
              </w:rPr>
            </w:pPr>
            <w:r>
              <w:rPr>
                <w:rStyle w:val="26"/>
                <w:rFonts w:hint="eastAsia"/>
                <w:b w:val="0"/>
                <w:bCs w:val="0"/>
                <w:sz w:val="18"/>
                <w:szCs w:val="18"/>
                <w:lang w:val="en-US" w:eastAsia="zh-CN" w:bidi="ar"/>
              </w:rPr>
              <w:t>项目名称：</w:t>
            </w:r>
          </w:p>
        </w:tc>
      </w:tr>
      <w:tr>
        <w:tblPrEx>
          <w:tblCellMar>
            <w:top w:w="0" w:type="dxa"/>
            <w:left w:w="108" w:type="dxa"/>
            <w:bottom w:w="0" w:type="dxa"/>
            <w:right w:w="108" w:type="dxa"/>
          </w:tblCellMar>
        </w:tblPrEx>
        <w:trPr>
          <w:trHeight w:val="524"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工种</w:t>
            </w:r>
          </w:p>
        </w:tc>
        <w:tc>
          <w:tcPr>
            <w:tcW w:w="5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施工范围</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工程地点</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最高限价</w:t>
            </w:r>
          </w:p>
        </w:tc>
      </w:tr>
      <w:tr>
        <w:tblPrEx>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泥工</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本次招标范围内的所有泥工内容，除甲方供应主材以外的其它辅材均由中标人负责。</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413"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本次招标范围内的所有木工内容，除甲方供应主材以外的（含模板、方木、铁丝、铁钉、圆盘锯及小辅材等等）均由中标人负责。</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664"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钢筋工</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本次招标范围内的所有钢筋工内容，除甲方供应主材以外的（含扎丝、套筒、压力焊、气焊、弯曲机、调直机、弯箍机、小型辅材及一切机械等等）均由中标人负责。</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915"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架子工</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本次招标范围内的所有架子工内容，除甲方供应主材以外的（含内外架搭设，钢管、扣件、安全网、跳板、支撑槽钢及辅材等等）均由中标人负责。</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4"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塔吊</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ahoma" w:hAnsi="Tahoma" w:eastAsia="Tahoma" w:cs="Tahoma"/>
                <w:i w:val="0"/>
                <w:iCs w:val="0"/>
                <w:color w:val="000000"/>
                <w:sz w:val="22"/>
                <w:szCs w:val="22"/>
                <w:u w:val="none"/>
              </w:rPr>
            </w:pPr>
            <w:r>
              <w:rPr>
                <w:rStyle w:val="28"/>
                <w:lang w:val="en-US" w:eastAsia="zh-CN" w:bidi="ar"/>
              </w:rPr>
              <w:t>满足施工组织要求，原则上每个工地不少于</w:t>
            </w:r>
            <w:r>
              <w:rPr>
                <w:rStyle w:val="29"/>
                <w:lang w:val="en-US" w:eastAsia="zh-CN" w:bidi="ar"/>
              </w:rPr>
              <w:t>1</w:t>
            </w:r>
            <w:r>
              <w:rPr>
                <w:rStyle w:val="28"/>
                <w:lang w:val="en-US" w:eastAsia="zh-CN" w:bidi="ar"/>
              </w:rPr>
              <w:t>台（包含塔吊租金、驾驶员聘用、进出场安拆费、检测费等一切费用）均由中标人负责。</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4"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ahoma" w:hAnsi="Tahoma" w:eastAsia="Tahoma" w:cs="Tahoma"/>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5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5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工程管理、施工组织、测量放样、值班值守、配合检查等等</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善琏院区约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4467.3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350"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旧馆院区约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11028.04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ahoma" w:hAnsi="Tahoma" w:eastAsia="Tahoma" w:cs="Tahoma"/>
                <w:i w:val="0"/>
                <w:iCs w:val="0"/>
                <w:color w:val="000000"/>
                <w:sz w:val="22"/>
                <w:szCs w:val="22"/>
                <w:u w:val="none"/>
              </w:rPr>
            </w:pPr>
          </w:p>
        </w:tc>
      </w:tr>
      <w:tr>
        <w:tblPrEx>
          <w:tblCellMar>
            <w:top w:w="0" w:type="dxa"/>
            <w:left w:w="108" w:type="dxa"/>
            <w:bottom w:w="0" w:type="dxa"/>
            <w:right w:w="108" w:type="dxa"/>
          </w:tblCellMar>
        </w:tblPrEx>
        <w:trPr>
          <w:trHeight w:val="496" w:hRule="atLeast"/>
        </w:trPr>
        <w:tc>
          <w:tcPr>
            <w:tcW w:w="9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ahoma" w:hAnsi="Tahoma" w:eastAsia="宋体" w:cs="Tahoma"/>
                <w:i w:val="0"/>
                <w:iCs w:val="0"/>
                <w:color w:val="000000"/>
                <w:sz w:val="22"/>
                <w:szCs w:val="22"/>
                <w:u w:val="none"/>
                <w:lang w:val="en-US" w:eastAsia="zh-CN"/>
              </w:rPr>
            </w:pPr>
            <w:r>
              <w:rPr>
                <w:rFonts w:hint="eastAsia" w:ascii="Tahoma" w:hAnsi="Tahoma" w:eastAsia="宋体" w:cs="Tahoma"/>
                <w:i w:val="0"/>
                <w:iCs w:val="0"/>
                <w:color w:val="000000"/>
                <w:sz w:val="22"/>
                <w:szCs w:val="22"/>
                <w:u w:val="none"/>
                <w:lang w:val="en-US" w:eastAsia="zh-CN"/>
              </w:rPr>
              <w:t>7</w:t>
            </w:r>
          </w:p>
        </w:tc>
        <w:tc>
          <w:tcPr>
            <w:tcW w:w="122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5765" w:type="dxa"/>
            <w:tcBorders>
              <w:top w:val="single" w:color="000000" w:sz="4" w:space="0"/>
              <w:left w:val="single" w:color="auto" w:sz="4" w:space="0"/>
              <w:bottom w:val="single" w:color="auto" w:sz="4" w:space="0"/>
              <w:right w:val="single" w:color="auto"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2107" w:type="dxa"/>
            <w:tcBorders>
              <w:top w:val="single" w:color="000000" w:sz="4" w:space="0"/>
              <w:left w:val="single" w:color="auto" w:sz="4" w:space="0"/>
              <w:bottom w:val="single" w:color="auto" w:sz="4" w:space="0"/>
              <w:right w:val="single" w:color="auto"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643" w:type="dxa"/>
            <w:tcBorders>
              <w:top w:val="single" w:color="000000" w:sz="4" w:space="0"/>
              <w:left w:val="single" w:color="auto" w:sz="4" w:space="0"/>
              <w:bottom w:val="single" w:color="auto" w:sz="4" w:space="0"/>
              <w:right w:val="single" w:color="auto"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15" w:type="dxa"/>
            <w:tcBorders>
              <w:top w:val="single" w:color="000000" w:sz="4" w:space="0"/>
              <w:left w:val="single" w:color="auto" w:sz="4" w:space="0"/>
              <w:bottom w:val="single" w:color="auto" w:sz="4" w:space="0"/>
              <w:right w:val="single" w:color="auto" w:sz="4" w:space="0"/>
            </w:tcBorders>
            <w:shd w:val="clear" w:color="auto" w:fill="auto"/>
            <w:vAlign w:val="center"/>
          </w:tcPr>
          <w:p>
            <w:pPr>
              <w:rPr>
                <w:rFonts w:hint="default" w:ascii="Tahoma" w:hAnsi="Tahoma" w:eastAsia="Tahoma" w:cs="Tahoma"/>
                <w:i w:val="0"/>
                <w:iCs w:val="0"/>
                <w:color w:val="000000"/>
                <w:sz w:val="22"/>
                <w:szCs w:val="22"/>
                <w:u w:val="none"/>
              </w:rPr>
            </w:pPr>
          </w:p>
        </w:tc>
        <w:tc>
          <w:tcPr>
            <w:tcW w:w="174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宋体" w:cs="Tahoma"/>
                <w:i w:val="0"/>
                <w:iCs w:val="0"/>
                <w:color w:val="000000"/>
                <w:sz w:val="22"/>
                <w:szCs w:val="22"/>
                <w:u w:val="none"/>
                <w:lang w:val="en-US" w:eastAsia="zh-CN"/>
              </w:rPr>
            </w:pPr>
            <w:r>
              <w:rPr>
                <w:rFonts w:hint="eastAsia" w:ascii="Tahoma" w:hAnsi="Tahoma" w:eastAsia="宋体" w:cs="Tahoma"/>
                <w:i w:val="0"/>
                <w:iCs w:val="0"/>
                <w:color w:val="000000"/>
                <w:sz w:val="22"/>
                <w:szCs w:val="22"/>
                <w:u w:val="none"/>
                <w:lang w:val="en-US" w:eastAsia="zh-CN"/>
              </w:rPr>
              <w:t>970万元</w:t>
            </w:r>
          </w:p>
        </w:tc>
      </w:tr>
      <w:tr>
        <w:tblPrEx>
          <w:shd w:val="clear" w:color="auto" w:fill="auto"/>
          <w:tblCellMar>
            <w:top w:w="0" w:type="dxa"/>
            <w:left w:w="108" w:type="dxa"/>
            <w:bottom w:w="0" w:type="dxa"/>
            <w:right w:w="108" w:type="dxa"/>
          </w:tblCellMar>
        </w:tblPrEx>
        <w:trPr>
          <w:trHeight w:val="524" w:hRule="atLeast"/>
        </w:trPr>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ahoma" w:hAnsi="Tahoma" w:eastAsia="Tahoma" w:cs="Tahoma"/>
                <w:i w:val="0"/>
                <w:iCs w:val="0"/>
                <w:color w:val="000000"/>
                <w:kern w:val="2"/>
                <w:sz w:val="22"/>
                <w:szCs w:val="22"/>
                <w:u w:val="none"/>
                <w:lang w:val="en-US" w:eastAsia="zh-CN" w:bidi="ar-SA"/>
              </w:rPr>
            </w:pPr>
            <w:r>
              <w:rPr>
                <w:rFonts w:hint="eastAsia" w:ascii="Tahoma" w:hAnsi="Tahoma" w:eastAsia="Tahoma" w:cs="Tahoma"/>
                <w:i w:val="0"/>
                <w:iCs w:val="0"/>
                <w:color w:val="000000"/>
                <w:kern w:val="0"/>
                <w:sz w:val="22"/>
                <w:szCs w:val="22"/>
                <w:u w:val="none"/>
                <w:lang w:val="en-US" w:eastAsia="zh-CN" w:bidi="ar"/>
              </w:rPr>
              <w:t>8</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平均价</w:t>
            </w:r>
          </w:p>
        </w:tc>
        <w:tc>
          <w:tcPr>
            <w:tcW w:w="5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ahoma" w:hAnsi="Tahoma" w:eastAsia="Tahoma" w:cs="Tahoma"/>
                <w:i w:val="0"/>
                <w:iCs w:val="0"/>
                <w:color w:val="000000"/>
                <w:kern w:val="2"/>
                <w:sz w:val="22"/>
                <w:szCs w:val="22"/>
                <w:u w:val="none"/>
                <w:lang w:val="en-US" w:eastAsia="zh-CN" w:bidi="ar-SA"/>
              </w:rPr>
            </w:pPr>
            <w:r>
              <w:rPr>
                <w:rStyle w:val="29"/>
                <w:lang w:val="en-US" w:eastAsia="zh-CN" w:bidi="ar"/>
              </w:rPr>
              <w:t>630</w:t>
            </w:r>
            <w:r>
              <w:rPr>
                <w:rStyle w:val="28"/>
                <w:lang w:val="en-US" w:eastAsia="zh-CN" w:bidi="ar"/>
              </w:rPr>
              <w:t>元</w:t>
            </w:r>
            <w:r>
              <w:rPr>
                <w:rStyle w:val="29"/>
                <w:lang w:val="en-US" w:eastAsia="zh-CN" w:bidi="ar"/>
              </w:rPr>
              <w:t>/</w:t>
            </w:r>
            <w:r>
              <w:rPr>
                <w:rStyle w:val="28"/>
                <w:lang w:val="en-US" w:eastAsia="zh-CN" w:bidi="ar"/>
              </w:rPr>
              <w:t>㎡</w:t>
            </w:r>
          </w:p>
        </w:tc>
      </w:tr>
      <w:tr>
        <w:tblPrEx>
          <w:shd w:val="clear" w:color="auto" w:fill="auto"/>
          <w:tblCellMar>
            <w:top w:w="0" w:type="dxa"/>
            <w:left w:w="108" w:type="dxa"/>
            <w:bottom w:w="0" w:type="dxa"/>
            <w:right w:w="108" w:type="dxa"/>
          </w:tblCellMar>
        </w:tblPrEx>
        <w:trPr>
          <w:trHeight w:val="509" w:hRule="atLeast"/>
        </w:trPr>
        <w:tc>
          <w:tcPr>
            <w:tcW w:w="962" w:type="dxa"/>
            <w:tcBorders>
              <w:top w:val="single" w:color="auto" w:sz="4" w:space="0"/>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 注：</w:t>
            </w:r>
          </w:p>
        </w:tc>
        <w:tc>
          <w:tcPr>
            <w:tcW w:w="14198" w:type="dxa"/>
            <w:gridSpan w:val="6"/>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1、本次报价含税金（3%增值税专用发票）。</w:t>
            </w:r>
            <w:r>
              <w:rPr>
                <w:rStyle w:val="30"/>
                <w:lang w:val="en-US" w:eastAsia="zh-CN" w:bidi="ar"/>
              </w:rPr>
              <w:t>2</w:t>
            </w:r>
            <w:r>
              <w:rPr>
                <w:rStyle w:val="31"/>
                <w:lang w:val="en-US" w:eastAsia="zh-CN" w:bidi="ar"/>
              </w:rPr>
              <w:t>、如本工程获评为“飞英杯”且满足甲方要求的（如服从管理，进度质量达标等），奖励</w:t>
            </w:r>
            <w:r>
              <w:rPr>
                <w:rStyle w:val="30"/>
                <w:lang w:val="en-US" w:eastAsia="zh-CN" w:bidi="ar"/>
              </w:rPr>
              <w:t>8</w:t>
            </w:r>
            <w:r>
              <w:rPr>
                <w:rStyle w:val="31"/>
                <w:lang w:val="en-US" w:eastAsia="zh-CN" w:bidi="ar"/>
              </w:rPr>
              <w:t>万元。</w:t>
            </w:r>
          </w:p>
        </w:tc>
      </w:tr>
    </w:tbl>
    <w:p>
      <w:pPr>
        <w:pStyle w:val="2"/>
        <w:tabs>
          <w:tab w:val="left" w:pos="5667"/>
        </w:tabs>
        <w:ind w:left="0" w:leftChars="0" w:right="63" w:firstLine="0" w:firstLineChars="0"/>
        <w:jc w:val="both"/>
        <w:rPr>
          <w:rFonts w:hint="eastAsia" w:ascii="仿宋" w:hAnsi="仿宋" w:eastAsia="仿宋" w:cs="仿宋"/>
          <w:sz w:val="28"/>
          <w:szCs w:val="28"/>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ind w:right="360"/>
      <w:jc w:val="right"/>
      <w:rPr>
        <w:rStyle w:val="14"/>
        <w:rFonts w:ascii="楷体_GB2312" w:eastAsia="楷体_GB2312"/>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9B8B4"/>
    <w:multiLevelType w:val="singleLevel"/>
    <w:tmpl w:val="55B9B8B4"/>
    <w:lvl w:ilvl="0" w:tentative="0">
      <w:start w:val="6"/>
      <w:numFmt w:val="decimal"/>
      <w:suff w:val="space"/>
      <w:lvlText w:val="%1."/>
      <w:lvlJc w:val="left"/>
    </w:lvl>
  </w:abstractNum>
  <w:abstractNum w:abstractNumId="1">
    <w:nsid w:val="5858D9B6"/>
    <w:multiLevelType w:val="singleLevel"/>
    <w:tmpl w:val="5858D9B6"/>
    <w:lvl w:ilvl="0" w:tentative="0">
      <w:start w:val="3"/>
      <w:numFmt w:val="chineseCounting"/>
      <w:suff w:val="space"/>
      <w:lvlText w:val="第%1章"/>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78E1"/>
    <w:rsid w:val="000D412B"/>
    <w:rsid w:val="000D64A3"/>
    <w:rsid w:val="000D6E12"/>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49C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1199"/>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273C"/>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5B4D"/>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E749BB"/>
    <w:rsid w:val="032D0193"/>
    <w:rsid w:val="03676E56"/>
    <w:rsid w:val="03A00125"/>
    <w:rsid w:val="04573C41"/>
    <w:rsid w:val="047A724B"/>
    <w:rsid w:val="047D1CA0"/>
    <w:rsid w:val="04FC49A8"/>
    <w:rsid w:val="05124135"/>
    <w:rsid w:val="05BF6198"/>
    <w:rsid w:val="07870DD4"/>
    <w:rsid w:val="07933142"/>
    <w:rsid w:val="08687625"/>
    <w:rsid w:val="08D46119"/>
    <w:rsid w:val="09451A80"/>
    <w:rsid w:val="099F3E40"/>
    <w:rsid w:val="09CF5737"/>
    <w:rsid w:val="0AAC6BE4"/>
    <w:rsid w:val="0AB32181"/>
    <w:rsid w:val="0ADE2021"/>
    <w:rsid w:val="0AE66846"/>
    <w:rsid w:val="0BAF2250"/>
    <w:rsid w:val="0BEB3DC8"/>
    <w:rsid w:val="0CA72033"/>
    <w:rsid w:val="0D00419D"/>
    <w:rsid w:val="0D060ACA"/>
    <w:rsid w:val="0D1E7589"/>
    <w:rsid w:val="0D2C79B1"/>
    <w:rsid w:val="0DA10CD9"/>
    <w:rsid w:val="0DC937C0"/>
    <w:rsid w:val="0DDE73FA"/>
    <w:rsid w:val="0E475394"/>
    <w:rsid w:val="0E703A00"/>
    <w:rsid w:val="0EE11F93"/>
    <w:rsid w:val="0F062706"/>
    <w:rsid w:val="0F2E3A4B"/>
    <w:rsid w:val="0FA00107"/>
    <w:rsid w:val="10163297"/>
    <w:rsid w:val="10B412E9"/>
    <w:rsid w:val="11151C5F"/>
    <w:rsid w:val="11342AE3"/>
    <w:rsid w:val="11396042"/>
    <w:rsid w:val="11E20196"/>
    <w:rsid w:val="143427D2"/>
    <w:rsid w:val="14DD050E"/>
    <w:rsid w:val="14F11C91"/>
    <w:rsid w:val="14F711DC"/>
    <w:rsid w:val="1546360D"/>
    <w:rsid w:val="15A47628"/>
    <w:rsid w:val="15DF0493"/>
    <w:rsid w:val="1636706C"/>
    <w:rsid w:val="16692D06"/>
    <w:rsid w:val="16C0024D"/>
    <w:rsid w:val="17193619"/>
    <w:rsid w:val="172B78C9"/>
    <w:rsid w:val="178D7750"/>
    <w:rsid w:val="17FC683D"/>
    <w:rsid w:val="18367CDA"/>
    <w:rsid w:val="19086D4A"/>
    <w:rsid w:val="1A377E4D"/>
    <w:rsid w:val="1A8643C5"/>
    <w:rsid w:val="1A8804E1"/>
    <w:rsid w:val="1B7431C3"/>
    <w:rsid w:val="1BA96FBE"/>
    <w:rsid w:val="1BC70C49"/>
    <w:rsid w:val="1BF965A1"/>
    <w:rsid w:val="1C133FA6"/>
    <w:rsid w:val="1C3800B2"/>
    <w:rsid w:val="1C811351"/>
    <w:rsid w:val="1C97489E"/>
    <w:rsid w:val="1CD70817"/>
    <w:rsid w:val="1D8E30F7"/>
    <w:rsid w:val="1EF403AD"/>
    <w:rsid w:val="1F207B44"/>
    <w:rsid w:val="1FAA3C18"/>
    <w:rsid w:val="20CC075D"/>
    <w:rsid w:val="210B711D"/>
    <w:rsid w:val="21627874"/>
    <w:rsid w:val="217A2E8F"/>
    <w:rsid w:val="21AD2AA9"/>
    <w:rsid w:val="23073830"/>
    <w:rsid w:val="252400AA"/>
    <w:rsid w:val="2648468A"/>
    <w:rsid w:val="27225448"/>
    <w:rsid w:val="27266761"/>
    <w:rsid w:val="2746156A"/>
    <w:rsid w:val="278D5A4A"/>
    <w:rsid w:val="28450F6C"/>
    <w:rsid w:val="284C16B1"/>
    <w:rsid w:val="28A66FD2"/>
    <w:rsid w:val="29081179"/>
    <w:rsid w:val="2926030A"/>
    <w:rsid w:val="298D54E1"/>
    <w:rsid w:val="298F1C16"/>
    <w:rsid w:val="29912B2A"/>
    <w:rsid w:val="2AF77B9D"/>
    <w:rsid w:val="2B040840"/>
    <w:rsid w:val="2B2733B9"/>
    <w:rsid w:val="2B297FDE"/>
    <w:rsid w:val="2B2E699C"/>
    <w:rsid w:val="2B797A36"/>
    <w:rsid w:val="2C2C542E"/>
    <w:rsid w:val="2C7173E0"/>
    <w:rsid w:val="2C8E4D82"/>
    <w:rsid w:val="2CD03054"/>
    <w:rsid w:val="2D3C001D"/>
    <w:rsid w:val="2D505B75"/>
    <w:rsid w:val="2DD122C7"/>
    <w:rsid w:val="2DFC55AB"/>
    <w:rsid w:val="2E5C0F57"/>
    <w:rsid w:val="2E646763"/>
    <w:rsid w:val="2E784EE0"/>
    <w:rsid w:val="2EC921D2"/>
    <w:rsid w:val="2EE66A28"/>
    <w:rsid w:val="2F244316"/>
    <w:rsid w:val="2F3C7172"/>
    <w:rsid w:val="2F6912D0"/>
    <w:rsid w:val="2F9F5EB2"/>
    <w:rsid w:val="2FB14A43"/>
    <w:rsid w:val="2FEE4A3B"/>
    <w:rsid w:val="2FEE5699"/>
    <w:rsid w:val="300C7997"/>
    <w:rsid w:val="303B7986"/>
    <w:rsid w:val="30AE1D52"/>
    <w:rsid w:val="30E7266C"/>
    <w:rsid w:val="30EA5331"/>
    <w:rsid w:val="311A0F54"/>
    <w:rsid w:val="317B512E"/>
    <w:rsid w:val="31F34B0C"/>
    <w:rsid w:val="32293DF3"/>
    <w:rsid w:val="32BA1F0D"/>
    <w:rsid w:val="33352B46"/>
    <w:rsid w:val="336A45BE"/>
    <w:rsid w:val="33F4138D"/>
    <w:rsid w:val="34C67B9A"/>
    <w:rsid w:val="34E300BF"/>
    <w:rsid w:val="360D6341"/>
    <w:rsid w:val="37BC4D26"/>
    <w:rsid w:val="381C106E"/>
    <w:rsid w:val="3822589D"/>
    <w:rsid w:val="38761F63"/>
    <w:rsid w:val="39734A06"/>
    <w:rsid w:val="39FC39DC"/>
    <w:rsid w:val="3A451C64"/>
    <w:rsid w:val="3A6A62BD"/>
    <w:rsid w:val="3B440475"/>
    <w:rsid w:val="3B6D0AC3"/>
    <w:rsid w:val="3E1A638D"/>
    <w:rsid w:val="3E216043"/>
    <w:rsid w:val="3F3C3A0D"/>
    <w:rsid w:val="3FCD4482"/>
    <w:rsid w:val="3FDA2369"/>
    <w:rsid w:val="3FF85F20"/>
    <w:rsid w:val="402772FD"/>
    <w:rsid w:val="406A0379"/>
    <w:rsid w:val="41231EC9"/>
    <w:rsid w:val="423C377E"/>
    <w:rsid w:val="437012D3"/>
    <w:rsid w:val="437A2EB2"/>
    <w:rsid w:val="442C5A9F"/>
    <w:rsid w:val="44500D2A"/>
    <w:rsid w:val="45657083"/>
    <w:rsid w:val="456617F3"/>
    <w:rsid w:val="45B10D60"/>
    <w:rsid w:val="45CC74A1"/>
    <w:rsid w:val="4640722E"/>
    <w:rsid w:val="464F5C1E"/>
    <w:rsid w:val="46AB7B44"/>
    <w:rsid w:val="46F7316C"/>
    <w:rsid w:val="475E748F"/>
    <w:rsid w:val="47D97FC7"/>
    <w:rsid w:val="48613C38"/>
    <w:rsid w:val="49AB468B"/>
    <w:rsid w:val="4BE50202"/>
    <w:rsid w:val="4C4B7102"/>
    <w:rsid w:val="4CC625AA"/>
    <w:rsid w:val="4D755439"/>
    <w:rsid w:val="4DBC074D"/>
    <w:rsid w:val="4DC73A64"/>
    <w:rsid w:val="4DE60D42"/>
    <w:rsid w:val="4E69264D"/>
    <w:rsid w:val="4EFB7579"/>
    <w:rsid w:val="4F0931EA"/>
    <w:rsid w:val="4F1809EB"/>
    <w:rsid w:val="4F676E75"/>
    <w:rsid w:val="50484332"/>
    <w:rsid w:val="505D1263"/>
    <w:rsid w:val="51F5100B"/>
    <w:rsid w:val="522D1344"/>
    <w:rsid w:val="52EC6306"/>
    <w:rsid w:val="53832185"/>
    <w:rsid w:val="53D52B2D"/>
    <w:rsid w:val="55662A4C"/>
    <w:rsid w:val="563E6EEB"/>
    <w:rsid w:val="56737795"/>
    <w:rsid w:val="5715624F"/>
    <w:rsid w:val="57255C57"/>
    <w:rsid w:val="57C12963"/>
    <w:rsid w:val="57DC33A1"/>
    <w:rsid w:val="586303D1"/>
    <w:rsid w:val="58E30090"/>
    <w:rsid w:val="59370951"/>
    <w:rsid w:val="59AC7755"/>
    <w:rsid w:val="59B55D2A"/>
    <w:rsid w:val="59E27657"/>
    <w:rsid w:val="59E618A3"/>
    <w:rsid w:val="5A03560E"/>
    <w:rsid w:val="5A3857B2"/>
    <w:rsid w:val="5A8D6E22"/>
    <w:rsid w:val="5B170EC1"/>
    <w:rsid w:val="5B523BA8"/>
    <w:rsid w:val="5B9073F7"/>
    <w:rsid w:val="5C084785"/>
    <w:rsid w:val="5CF76BF4"/>
    <w:rsid w:val="5D2C444A"/>
    <w:rsid w:val="5D3354D2"/>
    <w:rsid w:val="5D525483"/>
    <w:rsid w:val="5D6A11C4"/>
    <w:rsid w:val="5DA12F2E"/>
    <w:rsid w:val="5DAE13CF"/>
    <w:rsid w:val="5DCD250B"/>
    <w:rsid w:val="5DDC456A"/>
    <w:rsid w:val="5E7078F9"/>
    <w:rsid w:val="5E711CDA"/>
    <w:rsid w:val="5E781148"/>
    <w:rsid w:val="5E8848F0"/>
    <w:rsid w:val="5EB63A33"/>
    <w:rsid w:val="5ECA217D"/>
    <w:rsid w:val="5F3A110B"/>
    <w:rsid w:val="612753A8"/>
    <w:rsid w:val="61347170"/>
    <w:rsid w:val="62467775"/>
    <w:rsid w:val="62CC2286"/>
    <w:rsid w:val="63194CFD"/>
    <w:rsid w:val="63613D1C"/>
    <w:rsid w:val="63D52DC3"/>
    <w:rsid w:val="64130890"/>
    <w:rsid w:val="64144701"/>
    <w:rsid w:val="64DA205C"/>
    <w:rsid w:val="657151FB"/>
    <w:rsid w:val="65CA5EB8"/>
    <w:rsid w:val="66444926"/>
    <w:rsid w:val="668A54E2"/>
    <w:rsid w:val="66B81965"/>
    <w:rsid w:val="66EE52A3"/>
    <w:rsid w:val="679A55A8"/>
    <w:rsid w:val="689322AD"/>
    <w:rsid w:val="68D9424D"/>
    <w:rsid w:val="68F6152D"/>
    <w:rsid w:val="692D1F13"/>
    <w:rsid w:val="6A0D0E38"/>
    <w:rsid w:val="6ABA4B0F"/>
    <w:rsid w:val="6B2B2B84"/>
    <w:rsid w:val="6CDD11CD"/>
    <w:rsid w:val="6CE05267"/>
    <w:rsid w:val="6D9F74C0"/>
    <w:rsid w:val="6E0D46B2"/>
    <w:rsid w:val="6E5C208F"/>
    <w:rsid w:val="6EB1189B"/>
    <w:rsid w:val="6F055553"/>
    <w:rsid w:val="6FE724EF"/>
    <w:rsid w:val="706B4B17"/>
    <w:rsid w:val="70801458"/>
    <w:rsid w:val="70C94A80"/>
    <w:rsid w:val="713A5025"/>
    <w:rsid w:val="71680B0F"/>
    <w:rsid w:val="71C2014C"/>
    <w:rsid w:val="71F95237"/>
    <w:rsid w:val="72A90589"/>
    <w:rsid w:val="72CF0E9B"/>
    <w:rsid w:val="737F302F"/>
    <w:rsid w:val="7395649E"/>
    <w:rsid w:val="739F6EDB"/>
    <w:rsid w:val="74271298"/>
    <w:rsid w:val="748962D3"/>
    <w:rsid w:val="74BC2C4F"/>
    <w:rsid w:val="75FA5640"/>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E1259A1"/>
    <w:rsid w:val="7EC32244"/>
    <w:rsid w:val="7ED90757"/>
    <w:rsid w:val="7EEC1F1A"/>
    <w:rsid w:val="7EF121CF"/>
    <w:rsid w:val="7F347F65"/>
    <w:rsid w:val="7F3A4641"/>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9"/>
    <w:semiHidden/>
    <w:qFormat/>
    <w:uiPriority w:val="0"/>
    <w:pPr>
      <w:jc w:val="left"/>
    </w:pPr>
    <w:rPr>
      <w:rFonts w:ascii="Arial" w:hAnsi="Arial" w:cs="Arial"/>
    </w:rPr>
  </w:style>
  <w:style w:type="paragraph" w:styleId="7">
    <w:name w:val="Body Text Indent"/>
    <w:basedOn w:val="1"/>
    <w:link w:val="23"/>
    <w:qFormat/>
    <w:uiPriority w:val="0"/>
    <w:pPr>
      <w:tabs>
        <w:tab w:val="left" w:pos="7060"/>
      </w:tabs>
      <w:spacing w:line="360" w:lineRule="auto"/>
      <w:ind w:firstLine="560" w:firstLineChars="200"/>
    </w:pPr>
    <w:rPr>
      <w:rFonts w:eastAsia="新宋体"/>
      <w:sz w:val="28"/>
    </w:rPr>
  </w:style>
  <w:style w:type="paragraph" w:styleId="8">
    <w:name w:val="Balloon Text"/>
    <w:basedOn w:val="1"/>
    <w:link w:val="24"/>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99"/>
    <w:rPr>
      <w:rFonts w:cs="Times New Roman"/>
    </w:rPr>
  </w:style>
  <w:style w:type="character" w:styleId="15">
    <w:name w:val="FollowedHyperlink"/>
    <w:basedOn w:val="13"/>
    <w:unhideWhenUsed/>
    <w:qFormat/>
    <w:uiPriority w:val="99"/>
    <w:rPr>
      <w:color w:val="800080" w:themeColor="followedHyperlink"/>
      <w:u w:val="single"/>
    </w:rPr>
  </w:style>
  <w:style w:type="character" w:styleId="16">
    <w:name w:val="Hyperlink"/>
    <w:qFormat/>
    <w:uiPriority w:val="0"/>
    <w:rPr>
      <w:color w:val="0000FF"/>
      <w:u w:val="single"/>
    </w:rPr>
  </w:style>
  <w:style w:type="paragraph" w:customStyle="1" w:styleId="17">
    <w:name w:val="Char"/>
    <w:basedOn w:val="1"/>
    <w:qFormat/>
    <w:uiPriority w:val="0"/>
    <w:pPr>
      <w:adjustRightInd w:val="0"/>
      <w:snapToGrid w:val="0"/>
    </w:pPr>
    <w:rPr>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批注文字 Char"/>
    <w:basedOn w:val="13"/>
    <w:link w:val="6"/>
    <w:semiHidden/>
    <w:qFormat/>
    <w:uiPriority w:val="0"/>
    <w:rPr>
      <w:rFonts w:ascii="Arial" w:hAnsi="Arial" w:eastAsia="宋体" w:cs="Arial"/>
      <w:szCs w:val="24"/>
    </w:rPr>
  </w:style>
  <w:style w:type="character" w:customStyle="1" w:styleId="20">
    <w:name w:val="页眉 Char"/>
    <w:basedOn w:val="13"/>
    <w:link w:val="10"/>
    <w:qFormat/>
    <w:uiPriority w:val="99"/>
    <w:rPr>
      <w:rFonts w:ascii="Times New Roman" w:hAnsi="Times New Roman" w:eastAsia="宋体" w:cs="Times New Roman"/>
      <w:sz w:val="18"/>
      <w:szCs w:val="18"/>
    </w:rPr>
  </w:style>
  <w:style w:type="character" w:customStyle="1" w:styleId="21">
    <w:name w:val="页脚 Char"/>
    <w:basedOn w:val="13"/>
    <w:link w:val="9"/>
    <w:qFormat/>
    <w:uiPriority w:val="99"/>
    <w:rPr>
      <w:rFonts w:ascii="Times New Roman" w:hAnsi="Times New Roman" w:eastAsia="宋体" w:cs="Times New Roman"/>
      <w:sz w:val="18"/>
      <w:szCs w:val="18"/>
    </w:rPr>
  </w:style>
  <w:style w:type="character" w:customStyle="1" w:styleId="22">
    <w:name w:val="标题 3 Char"/>
    <w:basedOn w:val="13"/>
    <w:link w:val="4"/>
    <w:qFormat/>
    <w:uiPriority w:val="0"/>
    <w:rPr>
      <w:rFonts w:ascii="Times New Roman" w:hAnsi="Times New Roman" w:eastAsia="宋体" w:cs="Times New Roman"/>
      <w:b/>
      <w:bCs/>
      <w:sz w:val="32"/>
      <w:szCs w:val="32"/>
    </w:rPr>
  </w:style>
  <w:style w:type="character" w:customStyle="1" w:styleId="23">
    <w:name w:val="正文文本缩进 Char"/>
    <w:basedOn w:val="13"/>
    <w:link w:val="7"/>
    <w:qFormat/>
    <w:uiPriority w:val="0"/>
    <w:rPr>
      <w:rFonts w:ascii="Times New Roman" w:hAnsi="Times New Roman" w:eastAsia="新宋体" w:cs="Times New Roman"/>
      <w:sz w:val="28"/>
      <w:szCs w:val="24"/>
    </w:rPr>
  </w:style>
  <w:style w:type="character" w:customStyle="1" w:styleId="24">
    <w:name w:val="批注框文本 Char"/>
    <w:basedOn w:val="13"/>
    <w:link w:val="8"/>
    <w:semiHidden/>
    <w:qFormat/>
    <w:uiPriority w:val="99"/>
    <w:rPr>
      <w:rFonts w:ascii="Times New Roman" w:hAnsi="Times New Roman" w:eastAsia="宋体" w:cs="Times New Roman"/>
      <w:sz w:val="18"/>
      <w:szCs w:val="18"/>
    </w:rPr>
  </w:style>
  <w:style w:type="paragraph" w:styleId="25">
    <w:name w:val="List Paragraph"/>
    <w:basedOn w:val="1"/>
    <w:unhideWhenUsed/>
    <w:qFormat/>
    <w:uiPriority w:val="99"/>
    <w:pPr>
      <w:ind w:firstLine="420" w:firstLineChars="200"/>
    </w:pPr>
  </w:style>
  <w:style w:type="character" w:customStyle="1" w:styleId="26">
    <w:name w:val="font21"/>
    <w:basedOn w:val="13"/>
    <w:qFormat/>
    <w:uiPriority w:val="0"/>
    <w:rPr>
      <w:rFonts w:hint="eastAsia" w:ascii="宋体" w:hAnsi="宋体" w:eastAsia="宋体" w:cs="宋体"/>
      <w:b/>
      <w:bCs/>
      <w:color w:val="000000"/>
      <w:sz w:val="28"/>
      <w:szCs w:val="28"/>
      <w:u w:val="none"/>
    </w:rPr>
  </w:style>
  <w:style w:type="character" w:customStyle="1" w:styleId="27">
    <w:name w:val="font61"/>
    <w:basedOn w:val="13"/>
    <w:uiPriority w:val="0"/>
    <w:rPr>
      <w:rFonts w:ascii="Tahoma" w:hAnsi="Tahoma" w:eastAsia="Tahoma" w:cs="Tahoma"/>
      <w:b/>
      <w:bCs/>
      <w:color w:val="000000"/>
      <w:sz w:val="28"/>
      <w:szCs w:val="28"/>
      <w:u w:val="none"/>
    </w:rPr>
  </w:style>
  <w:style w:type="character" w:customStyle="1" w:styleId="28">
    <w:name w:val="font01"/>
    <w:basedOn w:val="13"/>
    <w:qFormat/>
    <w:uiPriority w:val="0"/>
    <w:rPr>
      <w:rFonts w:hint="eastAsia" w:ascii="宋体" w:hAnsi="宋体" w:eastAsia="宋体" w:cs="宋体"/>
      <w:color w:val="000000"/>
      <w:sz w:val="22"/>
      <w:szCs w:val="22"/>
      <w:u w:val="none"/>
    </w:rPr>
  </w:style>
  <w:style w:type="character" w:customStyle="1" w:styleId="29">
    <w:name w:val="font11"/>
    <w:basedOn w:val="13"/>
    <w:qFormat/>
    <w:uiPriority w:val="0"/>
    <w:rPr>
      <w:rFonts w:hint="default" w:ascii="Tahoma" w:hAnsi="Tahoma" w:eastAsia="Tahoma" w:cs="Tahoma"/>
      <w:color w:val="000000"/>
      <w:sz w:val="22"/>
      <w:szCs w:val="22"/>
      <w:u w:val="none"/>
    </w:rPr>
  </w:style>
  <w:style w:type="character" w:customStyle="1" w:styleId="30">
    <w:name w:val="font31"/>
    <w:basedOn w:val="13"/>
    <w:qFormat/>
    <w:uiPriority w:val="0"/>
    <w:rPr>
      <w:rFonts w:hint="default" w:ascii="Tahoma" w:hAnsi="Tahoma" w:eastAsia="Tahoma" w:cs="Tahoma"/>
      <w:b/>
      <w:bCs/>
      <w:color w:val="000000"/>
      <w:sz w:val="22"/>
      <w:szCs w:val="22"/>
      <w:u w:val="none"/>
    </w:rPr>
  </w:style>
  <w:style w:type="character" w:customStyle="1" w:styleId="31">
    <w:name w:val="font51"/>
    <w:basedOn w:val="13"/>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502DD-8819-47E1-8059-B5B448650621}">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16</Pages>
  <Words>1945</Words>
  <Characters>11089</Characters>
  <Lines>92</Lines>
  <Paragraphs>26</Paragraphs>
  <TotalTime>0</TotalTime>
  <ScaleCrop>false</ScaleCrop>
  <LinksUpToDate>false</LinksUpToDate>
  <CharactersWithSpaces>13008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2021-04-28T02:45:00Z</cp:lastPrinted>
  <dcterms:modified xsi:type="dcterms:W3CDTF">2021-07-16T09:04:53Z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F065991596194D569D6AE70C22191DD9</vt:lpwstr>
  </property>
</Properties>
</file>