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Theme="majorEastAsia" w:hAnsiTheme="majorEastAsia" w:eastAsiaTheme="majorEastAsia" w:cstheme="majorEastAsia"/>
          <w:b/>
          <w:color w:val="auto"/>
          <w:sz w:val="48"/>
          <w:szCs w:val="48"/>
        </w:rPr>
      </w:pPr>
      <w:r>
        <w:rPr>
          <w:rFonts w:hint="eastAsia" w:asciiTheme="majorEastAsia" w:hAnsiTheme="majorEastAsia" w:eastAsiaTheme="majorEastAsia" w:cstheme="majorEastAsia"/>
          <w:b/>
          <w:color w:val="auto"/>
          <w:sz w:val="48"/>
          <w:szCs w:val="48"/>
        </w:rPr>
        <w:t>善琏、旧馆卫生院手术室、检验科、抢救室设计及施工专业分包工程</w:t>
      </w:r>
    </w:p>
    <w:p>
      <w:pPr>
        <w:pStyle w:val="4"/>
        <w:ind w:left="63" w:right="63" w:firstLine="200"/>
        <w:rPr>
          <w:color w:val="auto"/>
        </w:rPr>
      </w:pPr>
    </w:p>
    <w:p>
      <w:pPr>
        <w:pStyle w:val="4"/>
        <w:ind w:left="63" w:right="63" w:firstLine="200"/>
        <w:rPr>
          <w:color w:val="auto"/>
        </w:rPr>
      </w:pPr>
    </w:p>
    <w:p>
      <w:pPr>
        <w:pStyle w:val="5"/>
        <w:rPr>
          <w:color w:val="auto"/>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pStyle w:val="4"/>
        <w:ind w:left="63" w:right="63" w:firstLine="200"/>
        <w:rPr>
          <w:color w:val="auto"/>
        </w:rPr>
      </w:pPr>
    </w:p>
    <w:p>
      <w:pPr>
        <w:pStyle w:val="4"/>
        <w:ind w:left="63" w:right="63" w:firstLine="200"/>
        <w:rPr>
          <w:color w:val="auto"/>
        </w:rPr>
      </w:pPr>
    </w:p>
    <w:p>
      <w:pPr>
        <w:jc w:val="center"/>
        <w:rPr>
          <w:rFonts w:ascii="宋体" w:hAnsi="宋体"/>
          <w:b/>
          <w:bCs/>
          <w:color w:val="auto"/>
          <w:sz w:val="36"/>
          <w:szCs w:val="36"/>
        </w:rPr>
      </w:pPr>
      <w:r>
        <w:rPr>
          <w:rFonts w:hint="eastAsia" w:ascii="宋体" w:hAnsi="宋体"/>
          <w:b/>
          <w:bCs/>
          <w:color w:val="auto"/>
          <w:sz w:val="36"/>
          <w:szCs w:val="36"/>
        </w:rPr>
        <w:t>招标编号：</w:t>
      </w: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11</w:t>
      </w:r>
      <w:r>
        <w:rPr>
          <w:rFonts w:hint="eastAsia" w:ascii="宋体" w:hAnsi="宋体"/>
          <w:b/>
          <w:color w:val="auto"/>
          <w:sz w:val="30"/>
          <w:szCs w:val="30"/>
        </w:rPr>
        <w:t xml:space="preserve">月 </w:t>
      </w:r>
    </w:p>
    <w:p>
      <w:pPr>
        <w:pStyle w:val="4"/>
        <w:ind w:left="0" w:leftChars="0" w:right="63" w:firstLine="0" w:firstLineChars="0"/>
        <w:jc w:val="both"/>
        <w:rPr>
          <w:color w:val="auto"/>
        </w:rPr>
      </w:pPr>
    </w:p>
    <w:p>
      <w:pPr>
        <w:pStyle w:val="5"/>
        <w:rPr>
          <w:color w:val="auto"/>
        </w:rPr>
      </w:pPr>
    </w:p>
    <w:p>
      <w:pPr>
        <w:autoSpaceDE w:val="0"/>
        <w:autoSpaceDN w:val="0"/>
        <w:adjustRightInd w:val="0"/>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rPr>
          <w:rFonts w:ascii="宋体" w:hAnsi="宋体" w:cs="宋体"/>
          <w:color w:val="auto"/>
          <w:kern w:val="0"/>
          <w:szCs w:val="21"/>
          <w:u w:val="single"/>
        </w:rPr>
      </w:pPr>
      <w:r>
        <w:rPr>
          <w:rFonts w:ascii="宋体" w:hAnsi="宋体" w:cs="TimesNewRomanPSMT"/>
          <w:b/>
          <w:color w:val="auto"/>
          <w:kern w:val="0"/>
          <w:szCs w:val="21"/>
        </w:rPr>
        <w:t xml:space="preserve">1. </w:t>
      </w:r>
      <w:r>
        <w:rPr>
          <w:rFonts w:hint="eastAsia" w:ascii="宋体" w:hAnsi="宋体" w:cs="黑体"/>
          <w:b/>
          <w:color w:val="auto"/>
          <w:kern w:val="0"/>
          <w:szCs w:val="21"/>
        </w:rPr>
        <w:t>招标条件</w:t>
      </w:r>
      <w:r>
        <w:rPr>
          <w:rFonts w:hint="eastAsia" w:ascii="宋体" w:hAnsi="宋体" w:cs="宋体"/>
          <w:color w:val="auto"/>
          <w:kern w:val="0"/>
          <w:szCs w:val="21"/>
          <w:u w:val="single"/>
        </w:rPr>
        <w:t>善琏、旧馆卫生院手术室、检验科、抢救室设计及施工专业分包工程</w:t>
      </w:r>
      <w:r>
        <w:rPr>
          <w:rFonts w:hint="eastAsia" w:ascii="宋体" w:hAnsi="宋体" w:cs="宋体"/>
          <w:color w:val="auto"/>
          <w:kern w:val="0"/>
          <w:szCs w:val="21"/>
        </w:rPr>
        <w:t xml:space="preserve">由 </w:t>
      </w:r>
      <w:r>
        <w:rPr>
          <w:rFonts w:hint="eastAsia" w:ascii="宋体" w:hAnsi="宋体" w:cs="宋体"/>
          <w:color w:val="auto"/>
          <w:kern w:val="0"/>
          <w:szCs w:val="21"/>
          <w:u w:val="single"/>
        </w:rPr>
        <w:t xml:space="preserve">湖州南浔城投城市建设集团有限公司 </w:t>
      </w:r>
      <w:r>
        <w:rPr>
          <w:rFonts w:hint="eastAsia" w:ascii="宋体" w:hAnsi="宋体" w:cs="宋体"/>
          <w:color w:val="auto"/>
          <w:kern w:val="0"/>
          <w:szCs w:val="21"/>
        </w:rPr>
        <w:t>工程总承包，招标人为</w:t>
      </w:r>
      <w:r>
        <w:rPr>
          <w:rFonts w:hint="eastAsia" w:ascii="宋体" w:hAnsi="宋体" w:cs="宋体"/>
          <w:color w:val="auto"/>
          <w:kern w:val="0"/>
          <w:szCs w:val="21"/>
          <w:u w:val="single"/>
        </w:rPr>
        <w:t>湖州南浔城投城市建设集团有限公司</w:t>
      </w:r>
      <w:r>
        <w:rPr>
          <w:rFonts w:hint="eastAsia" w:ascii="宋体" w:hAnsi="宋体" w:cs="宋体"/>
          <w:color w:val="auto"/>
          <w:kern w:val="0"/>
          <w:szCs w:val="21"/>
        </w:rPr>
        <w:t>。项目已具备招标条件，现对该项目</w:t>
      </w:r>
      <w:r>
        <w:rPr>
          <w:rFonts w:hint="eastAsia" w:ascii="宋体" w:hAnsi="宋体" w:cs="宋体"/>
          <w:color w:val="auto"/>
          <w:szCs w:val="21"/>
        </w:rPr>
        <w:t>采用</w:t>
      </w:r>
      <w:r>
        <w:rPr>
          <w:rFonts w:hint="eastAsia" w:ascii="宋体" w:hAnsi="宋体" w:cs="宋体"/>
          <w:bCs/>
          <w:color w:val="auto"/>
          <w:szCs w:val="21"/>
          <w:u w:val="single"/>
        </w:rPr>
        <w:t xml:space="preserve"> 公开招标 </w:t>
      </w:r>
      <w:r>
        <w:rPr>
          <w:rFonts w:hint="eastAsia" w:ascii="宋体" w:hAnsi="宋体" w:cs="宋体"/>
          <w:color w:val="auto"/>
          <w:szCs w:val="21"/>
        </w:rPr>
        <w:t>的招标方式确定投标人</w:t>
      </w:r>
      <w:r>
        <w:rPr>
          <w:rFonts w:hint="eastAsia" w:ascii="宋体" w:hAnsi="宋体" w:cs="宋体"/>
          <w:color w:val="auto"/>
          <w:kern w:val="0"/>
          <w:szCs w:val="21"/>
        </w:rPr>
        <w:t>。</w:t>
      </w:r>
    </w:p>
    <w:p>
      <w:pPr>
        <w:autoSpaceDE w:val="0"/>
        <w:autoSpaceDN w:val="0"/>
        <w:adjustRightInd w:val="0"/>
        <w:spacing w:line="40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项目概况与招标范围</w:t>
      </w:r>
    </w:p>
    <w:p>
      <w:pPr>
        <w:spacing w:line="400" w:lineRule="exact"/>
        <w:rPr>
          <w:rFonts w:eastAsiaTheme="majorEastAsia"/>
          <w:color w:val="auto"/>
          <w:sz w:val="28"/>
          <w:szCs w:val="28"/>
        </w:rPr>
      </w:pPr>
      <w:r>
        <w:rPr>
          <w:rFonts w:hint="eastAsia" w:ascii="宋体" w:hAnsi="宋体" w:cs="TimesNewRomanPSMT"/>
          <w:b/>
          <w:bCs/>
          <w:color w:val="auto"/>
          <w:kern w:val="0"/>
          <w:szCs w:val="21"/>
        </w:rPr>
        <w:t>2.1 工程概况：</w:t>
      </w:r>
      <w:r>
        <w:rPr>
          <w:rFonts w:hint="eastAsia" w:ascii="宋体" w:hAnsi="宋体" w:cs="宋体"/>
          <w:color w:val="auto"/>
          <w:kern w:val="0"/>
          <w:szCs w:val="21"/>
          <w:u w:val="none"/>
        </w:rPr>
        <w:t>善琏、旧馆卫生院手术室、检验科、抢救室设计及施工专业分包工程</w:t>
      </w:r>
      <w:r>
        <w:rPr>
          <w:rFonts w:hint="eastAsia" w:ascii="宋体" w:hAnsi="宋体" w:cs="TimesNewRomanPSMT"/>
          <w:color w:val="auto"/>
          <w:kern w:val="0"/>
          <w:szCs w:val="21"/>
        </w:rPr>
        <w:t>，包含内地面、墙面、天棚、门等的装修、电气、暖通及相关设备采购安装，</w:t>
      </w:r>
      <w:r>
        <w:rPr>
          <w:rFonts w:hint="eastAsia" w:ascii="宋体" w:hAnsi="宋体" w:eastAsia="宋体" w:cs="宋体"/>
          <w:b w:val="0"/>
          <w:bCs w:val="0"/>
          <w:color w:val="auto"/>
          <w:kern w:val="0"/>
          <w:sz w:val="21"/>
          <w:szCs w:val="21"/>
          <w:u w:val="none"/>
          <w:lang w:val="en-US" w:eastAsia="zh-CN" w:bidi="ar-SA"/>
        </w:rPr>
        <w:t>直至满足功能性要求及业主单位要求并达到竣工验收合格为止</w:t>
      </w:r>
      <w:r>
        <w:rPr>
          <w:rFonts w:hint="eastAsia" w:ascii="宋体" w:hAnsi="宋体" w:cs="TimesNewRomanPSMT"/>
          <w:color w:val="auto"/>
          <w:kern w:val="0"/>
          <w:szCs w:val="21"/>
          <w:lang w:val="en-US" w:eastAsia="zh-CN"/>
        </w:rPr>
        <w:t>，</w:t>
      </w:r>
      <w:r>
        <w:rPr>
          <w:rFonts w:hint="eastAsia" w:ascii="宋体" w:hAnsi="宋体" w:cs="TimesNewRomanPSMT"/>
          <w:color w:val="auto"/>
          <w:kern w:val="0"/>
          <w:szCs w:val="21"/>
        </w:rPr>
        <w:t>具体内容详见</w:t>
      </w:r>
      <w:r>
        <w:rPr>
          <w:rFonts w:hint="eastAsia" w:ascii="宋体" w:hAnsi="宋体" w:cs="TimesNewRomanPSMT"/>
          <w:color w:val="auto"/>
          <w:kern w:val="0"/>
          <w:szCs w:val="21"/>
          <w:lang w:val="en-US" w:eastAsia="zh-CN"/>
        </w:rPr>
        <w:t>工程量清单</w:t>
      </w:r>
      <w:r>
        <w:rPr>
          <w:rFonts w:hint="eastAsia" w:asciiTheme="majorEastAsia" w:hAnsiTheme="majorEastAsia" w:eastAsiaTheme="majorEastAsia" w:cstheme="majorEastAsia"/>
          <w:color w:val="auto"/>
          <w:szCs w:val="21"/>
        </w:rPr>
        <w:t>。</w:t>
      </w:r>
    </w:p>
    <w:p>
      <w:pPr>
        <w:spacing w:line="400" w:lineRule="exact"/>
        <w:rPr>
          <w:rFonts w:eastAsiaTheme="majorEastAsia"/>
          <w:color w:val="auto"/>
          <w:sz w:val="28"/>
          <w:szCs w:val="28"/>
        </w:rPr>
      </w:pPr>
      <w:r>
        <w:rPr>
          <w:rFonts w:hint="eastAsia" w:ascii="宋体" w:hAnsi="宋体" w:cs="TimesNewRomanPSMT"/>
          <w:b/>
          <w:bCs/>
          <w:color w:val="auto"/>
          <w:kern w:val="0"/>
          <w:szCs w:val="21"/>
        </w:rPr>
        <w:t>2.2 本招标范围：</w:t>
      </w:r>
      <w:r>
        <w:rPr>
          <w:rFonts w:hint="eastAsia" w:ascii="宋体" w:hAnsi="宋体" w:cs="TimesNewRomanPSMT"/>
          <w:color w:val="auto"/>
          <w:kern w:val="0"/>
          <w:szCs w:val="21"/>
        </w:rPr>
        <w:t>本次招标范围为该</w:t>
      </w:r>
      <w:r>
        <w:rPr>
          <w:rFonts w:hint="eastAsia" w:ascii="宋体" w:hAnsi="宋体" w:cs="宋体"/>
          <w:color w:val="auto"/>
          <w:kern w:val="0"/>
          <w:szCs w:val="21"/>
          <w:u w:val="none"/>
        </w:rPr>
        <w:t>善琏、旧馆卫生院手术室、检验科、抢救室设计及施工专业分包工程</w:t>
      </w:r>
      <w:r>
        <w:rPr>
          <w:rFonts w:hint="eastAsia" w:ascii="宋体" w:hAnsi="宋体" w:cs="TimesNewRomanPSMT"/>
          <w:color w:val="auto"/>
          <w:kern w:val="0"/>
          <w:szCs w:val="21"/>
        </w:rPr>
        <w:t>，包含内地面、墙面、天棚、门等的装修、电气、暖通及相关设备采购安装，</w:t>
      </w:r>
      <w:r>
        <w:rPr>
          <w:rFonts w:hint="eastAsia" w:ascii="宋体" w:hAnsi="宋体" w:eastAsia="宋体" w:cs="宋体"/>
          <w:b w:val="0"/>
          <w:bCs w:val="0"/>
          <w:color w:val="auto"/>
          <w:kern w:val="0"/>
          <w:sz w:val="21"/>
          <w:szCs w:val="21"/>
          <w:u w:val="none"/>
          <w:lang w:val="en-US" w:eastAsia="zh-CN" w:bidi="ar-SA"/>
        </w:rPr>
        <w:t>直至满足功能性要求及业主单位要求并达到竣工验收合格为止</w:t>
      </w:r>
      <w:r>
        <w:rPr>
          <w:rFonts w:hint="eastAsia" w:ascii="宋体" w:hAnsi="宋体" w:cs="TimesNewRomanPSMT"/>
          <w:color w:val="auto"/>
          <w:kern w:val="0"/>
          <w:szCs w:val="21"/>
          <w:lang w:val="en-US" w:eastAsia="zh-CN"/>
        </w:rPr>
        <w:t>，</w:t>
      </w:r>
      <w:r>
        <w:rPr>
          <w:rFonts w:hint="eastAsia" w:ascii="宋体" w:hAnsi="宋体" w:cs="TimesNewRomanPSMT"/>
          <w:color w:val="auto"/>
          <w:kern w:val="0"/>
          <w:szCs w:val="21"/>
        </w:rPr>
        <w:t>具体内容详见</w:t>
      </w:r>
      <w:r>
        <w:rPr>
          <w:rFonts w:hint="eastAsia" w:ascii="宋体" w:hAnsi="宋体" w:cs="TimesNewRomanPSMT"/>
          <w:color w:val="auto"/>
          <w:kern w:val="0"/>
          <w:szCs w:val="21"/>
          <w:lang w:val="en-US" w:eastAsia="zh-CN"/>
        </w:rPr>
        <w:t>工程量清单</w:t>
      </w:r>
      <w:r>
        <w:rPr>
          <w:rFonts w:hint="eastAsia" w:asciiTheme="majorEastAsia" w:hAnsiTheme="majorEastAsia" w:eastAsiaTheme="majorEastAsia" w:cstheme="majorEastAsia"/>
          <w:color w:val="auto"/>
          <w:szCs w:val="21"/>
        </w:rPr>
        <w:t>。</w:t>
      </w:r>
    </w:p>
    <w:p>
      <w:pPr>
        <w:spacing w:line="400" w:lineRule="exact"/>
        <w:jc w:val="left"/>
        <w:rPr>
          <w:rFonts w:ascii="宋体" w:hAnsi="宋体" w:cs="宋体"/>
          <w:color w:val="auto"/>
          <w:kern w:val="0"/>
          <w:szCs w:val="21"/>
        </w:rPr>
      </w:pPr>
      <w:r>
        <w:rPr>
          <w:rFonts w:hint="eastAsia" w:ascii="宋体" w:hAnsi="宋体" w:cs="TimesNewRomanPSMT"/>
          <w:color w:val="auto"/>
          <w:kern w:val="0"/>
          <w:szCs w:val="21"/>
        </w:rPr>
        <w:t>2.3  分包工程名称为：</w:t>
      </w:r>
      <w:r>
        <w:rPr>
          <w:rFonts w:hint="eastAsia" w:ascii="宋体" w:hAnsi="宋体" w:cs="宋体"/>
          <w:color w:val="auto"/>
          <w:kern w:val="0"/>
          <w:szCs w:val="21"/>
          <w:u w:val="single"/>
        </w:rPr>
        <w:t>善琏、旧馆卫生院手术室、检验科、抢救室设计及施工专业分包工程</w:t>
      </w:r>
      <w:r>
        <w:rPr>
          <w:rFonts w:hint="eastAsia" w:ascii="宋体" w:hAnsi="宋体" w:cs="宋体"/>
          <w:color w:val="auto"/>
          <w:kern w:val="0"/>
          <w:szCs w:val="21"/>
        </w:rPr>
        <w:t>。</w:t>
      </w:r>
    </w:p>
    <w:p>
      <w:pPr>
        <w:spacing w:line="400" w:lineRule="exact"/>
        <w:jc w:val="left"/>
        <w:rPr>
          <w:rFonts w:ascii="宋体" w:hAnsi="宋体" w:cs="TimesNewRomanPSMT"/>
          <w:color w:val="auto"/>
          <w:kern w:val="0"/>
          <w:szCs w:val="21"/>
        </w:rPr>
      </w:pPr>
      <w:r>
        <w:rPr>
          <w:rFonts w:hint="eastAsia" w:ascii="宋体" w:hAnsi="宋体" w:cs="TimesNewRomanPSMT"/>
          <w:color w:val="auto"/>
          <w:kern w:val="0"/>
          <w:szCs w:val="21"/>
        </w:rPr>
        <w:t>2.4.1 主要施工内容及要求为:</w:t>
      </w:r>
      <w:r>
        <w:rPr>
          <w:rFonts w:hint="eastAsia" w:ascii="宋体" w:hAnsi="宋体" w:cs="宋体"/>
          <w:color w:val="auto"/>
          <w:kern w:val="0"/>
          <w:szCs w:val="21"/>
        </w:rPr>
        <w:t>善琏、旧馆卫生院手术室、检验科、抢救室</w:t>
      </w:r>
      <w:r>
        <w:rPr>
          <w:rFonts w:hint="eastAsia" w:ascii="宋体" w:hAnsi="宋体" w:cs="TimesNewRomanPSMT"/>
          <w:color w:val="auto"/>
          <w:kern w:val="0"/>
          <w:szCs w:val="21"/>
        </w:rPr>
        <w:t>内地面、墙面、天棚、门等的装修、电气、暖通及相关设备采购安装，</w:t>
      </w:r>
      <w:r>
        <w:rPr>
          <w:rFonts w:hint="eastAsia" w:ascii="宋体" w:hAnsi="宋体" w:eastAsia="宋体" w:cs="宋体"/>
          <w:b w:val="0"/>
          <w:bCs w:val="0"/>
          <w:color w:val="auto"/>
          <w:kern w:val="0"/>
          <w:sz w:val="21"/>
          <w:szCs w:val="21"/>
          <w:u w:val="none"/>
          <w:lang w:val="en-US" w:eastAsia="zh-CN" w:bidi="ar-SA"/>
        </w:rPr>
        <w:t>直至满足功能性要求及业主单位要求并达到竣工验收合格为止</w:t>
      </w:r>
      <w:r>
        <w:rPr>
          <w:rFonts w:hint="eastAsia" w:ascii="宋体" w:hAnsi="宋体" w:cs="TimesNewRomanPSMT"/>
          <w:color w:val="auto"/>
          <w:kern w:val="0"/>
          <w:szCs w:val="21"/>
          <w:lang w:val="en-US" w:eastAsia="zh-CN"/>
        </w:rPr>
        <w:t>，</w:t>
      </w:r>
      <w:r>
        <w:rPr>
          <w:rFonts w:hint="eastAsia" w:ascii="宋体" w:hAnsi="宋体" w:cs="TimesNewRomanPSMT"/>
          <w:color w:val="auto"/>
          <w:kern w:val="0"/>
          <w:szCs w:val="21"/>
        </w:rPr>
        <w:t>具体内容详见</w:t>
      </w:r>
      <w:r>
        <w:rPr>
          <w:rFonts w:hint="eastAsia" w:ascii="宋体" w:hAnsi="宋体" w:cs="TimesNewRomanPSMT"/>
          <w:color w:val="auto"/>
          <w:kern w:val="0"/>
          <w:szCs w:val="21"/>
          <w:lang w:val="en-US" w:eastAsia="zh-CN"/>
        </w:rPr>
        <w:t>工程量清单</w:t>
      </w:r>
      <w:r>
        <w:rPr>
          <w:rFonts w:hint="eastAsia" w:ascii="宋体" w:hAnsi="宋体" w:cs="TimesNewRomanPSMT"/>
          <w:color w:val="auto"/>
          <w:kern w:val="0"/>
          <w:szCs w:val="21"/>
        </w:rPr>
        <w:t>。</w:t>
      </w:r>
    </w:p>
    <w:p>
      <w:pPr>
        <w:spacing w:line="400" w:lineRule="exact"/>
        <w:rPr>
          <w:rFonts w:ascii="宋体" w:hAnsi="宋体" w:cs="TimesNewRomanPSMT"/>
          <w:color w:val="auto"/>
          <w:kern w:val="0"/>
          <w:szCs w:val="21"/>
        </w:rPr>
      </w:pPr>
      <w:r>
        <w:rPr>
          <w:rFonts w:hint="eastAsia" w:ascii="宋体" w:hAnsi="宋体" w:cs="TimesNewRomanPSMT"/>
          <w:color w:val="auto"/>
          <w:kern w:val="0"/>
          <w:szCs w:val="21"/>
        </w:rPr>
        <w:t>2.4.2  细部要求为:详见答疑、招标文件、施工图纸、政府相关文件、规范等其他资料，满足验收要求。</w:t>
      </w:r>
    </w:p>
    <w:p>
      <w:pPr>
        <w:spacing w:line="400" w:lineRule="exact"/>
        <w:rPr>
          <w:rFonts w:ascii="宋体" w:hAnsi="宋体" w:cs="TimesNewRomanPSMT"/>
          <w:color w:val="auto"/>
          <w:kern w:val="0"/>
          <w:szCs w:val="21"/>
        </w:rPr>
      </w:pPr>
      <w:r>
        <w:rPr>
          <w:rFonts w:hint="eastAsia" w:ascii="宋体" w:hAnsi="宋体" w:cs="TimesNewRomanPSMT"/>
          <w:color w:val="auto"/>
          <w:kern w:val="0"/>
          <w:szCs w:val="21"/>
        </w:rPr>
        <w:t>2.4.3  其它均按现场实际情况、业主等单位工作联系单要求施工。</w:t>
      </w:r>
    </w:p>
    <w:p>
      <w:pPr>
        <w:spacing w:line="400" w:lineRule="exact"/>
        <w:rPr>
          <w:rFonts w:ascii="宋体" w:hAnsi="宋体" w:cs="宋体"/>
          <w:color w:val="auto"/>
          <w:kern w:val="0"/>
          <w:szCs w:val="21"/>
        </w:rPr>
      </w:pPr>
      <w:r>
        <w:rPr>
          <w:rFonts w:hint="eastAsia" w:ascii="宋体" w:hAnsi="宋体" w:cs="TimesNewRomanPSMT"/>
          <w:color w:val="auto"/>
          <w:kern w:val="0"/>
          <w:szCs w:val="21"/>
        </w:rPr>
        <w:t>2.5 工程地点：位于湖州善琏、旧馆卫生院。</w:t>
      </w:r>
    </w:p>
    <w:p>
      <w:pPr>
        <w:autoSpaceDE w:val="0"/>
        <w:autoSpaceDN w:val="0"/>
        <w:adjustRightInd w:val="0"/>
        <w:spacing w:line="40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投标人资格要求</w:t>
      </w:r>
    </w:p>
    <w:p>
      <w:pPr>
        <w:autoSpaceDE w:val="0"/>
        <w:autoSpaceDN w:val="0"/>
        <w:adjustRightInd w:val="0"/>
        <w:spacing w:line="4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本次招标要求投标人须具备</w:t>
      </w:r>
      <w:r>
        <w:rPr>
          <w:rFonts w:hint="eastAsia" w:ascii="宋体" w:hAnsi="宋体" w:cs="宋体"/>
          <w:color w:val="auto"/>
          <w:kern w:val="0"/>
          <w:szCs w:val="21"/>
          <w:u w:val="single"/>
          <w:lang w:val="en-US" w:eastAsia="zh-CN"/>
        </w:rPr>
        <w:t>1、未被列入失信被执行人、重大税收违法案件当事人名单和政府采购严重违法失信行为记录名单的投标人；</w:t>
      </w:r>
      <w:r>
        <w:rPr>
          <w:rFonts w:hint="eastAsia" w:ascii="仿宋" w:hAnsi="仿宋" w:eastAsia="仿宋" w:cs="仿宋"/>
          <w:i w:val="0"/>
          <w:iCs w:val="0"/>
          <w:caps w:val="0"/>
          <w:color w:val="000000"/>
          <w:spacing w:val="0"/>
          <w:kern w:val="0"/>
          <w:sz w:val="24"/>
          <w:szCs w:val="24"/>
          <w:u w:val="single"/>
          <w:shd w:val="clear" w:color="auto" w:fill="FFFFFF"/>
          <w:lang w:val="en-US" w:eastAsia="zh-CN" w:bidi="ar"/>
        </w:rPr>
        <w:t>2</w:t>
      </w:r>
      <w:r>
        <w:rPr>
          <w:rFonts w:hint="eastAsia" w:ascii="宋体" w:hAnsi="宋体" w:cs="宋体"/>
          <w:color w:val="auto"/>
          <w:kern w:val="0"/>
          <w:szCs w:val="21"/>
          <w:u w:val="single"/>
          <w:lang w:eastAsia="zh-CN"/>
        </w:rPr>
        <w:t>、</w:t>
      </w:r>
      <w:r>
        <w:rPr>
          <w:rFonts w:hint="eastAsia" w:ascii="宋体" w:hAnsi="宋体" w:cs="宋体"/>
          <w:color w:val="auto"/>
          <w:kern w:val="0"/>
          <w:szCs w:val="21"/>
          <w:u w:val="single"/>
        </w:rPr>
        <w:t>具有建筑装修装饰工程专业承包贰级</w:t>
      </w:r>
      <w:r>
        <w:rPr>
          <w:rFonts w:hint="eastAsia" w:ascii="宋体" w:hAnsi="宋体" w:cs="宋体"/>
          <w:color w:val="auto"/>
          <w:kern w:val="0"/>
          <w:szCs w:val="21"/>
          <w:u w:val="single"/>
          <w:lang w:eastAsia="zh-CN"/>
        </w:rPr>
        <w:t>及以上资质；</w:t>
      </w:r>
      <w:r>
        <w:rPr>
          <w:rFonts w:hint="eastAsia" w:ascii="宋体" w:hAnsi="宋体" w:cs="宋体"/>
          <w:color w:val="auto"/>
          <w:kern w:val="0"/>
          <w:szCs w:val="21"/>
          <w:u w:val="single"/>
          <w:lang w:val="en-US" w:eastAsia="zh-CN"/>
        </w:rPr>
        <w:t>3、建筑机电安装工程专业</w:t>
      </w:r>
      <w:r>
        <w:rPr>
          <w:rFonts w:hint="eastAsia" w:ascii="宋体" w:hAnsi="宋体" w:cs="宋体"/>
          <w:color w:val="auto"/>
          <w:kern w:val="0"/>
          <w:szCs w:val="21"/>
          <w:u w:val="single"/>
        </w:rPr>
        <w:t>承包叁级及以上资质</w:t>
      </w:r>
      <w:r>
        <w:rPr>
          <w:rFonts w:hint="eastAsia" w:ascii="宋体" w:hAnsi="宋体" w:cs="宋体"/>
          <w:color w:val="auto"/>
          <w:kern w:val="0"/>
          <w:szCs w:val="21"/>
        </w:rPr>
        <w:t>，并在人员、设备、资金等方面具有相应的施工能力。</w:t>
      </w:r>
      <w:r>
        <w:rPr>
          <w:rFonts w:hint="eastAsia" w:ascii="宋体" w:hAnsi="宋体" w:cs="TimesNewRomanPSMT"/>
          <w:kern w:val="0"/>
          <w:sz w:val="21"/>
          <w:szCs w:val="21"/>
        </w:rPr>
        <w:t>项目团队主要人员必须为投标人公司员工（需附证明资料）</w:t>
      </w:r>
      <w:r>
        <w:rPr>
          <w:rFonts w:hint="eastAsia" w:ascii="宋体" w:hAnsi="宋体" w:cs="TimesNewRomanPSMT"/>
          <w:kern w:val="0"/>
          <w:sz w:val="21"/>
          <w:szCs w:val="21"/>
          <w:lang w:eastAsia="zh-CN"/>
        </w:rPr>
        <w:t>。</w:t>
      </w:r>
    </w:p>
    <w:p>
      <w:pPr>
        <w:autoSpaceDE w:val="0"/>
        <w:autoSpaceDN w:val="0"/>
        <w:adjustRightInd w:val="0"/>
        <w:spacing w:line="40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招标文件的获取</w:t>
      </w:r>
    </w:p>
    <w:p>
      <w:pPr>
        <w:spacing w:line="400" w:lineRule="exact"/>
        <w:rPr>
          <w:rFonts w:ascii="宋体" w:hAnsi="宋体" w:cs="仿宋_GB2312"/>
          <w:color w:val="auto"/>
          <w:kern w:val="0"/>
          <w:szCs w:val="21"/>
        </w:rPr>
      </w:pPr>
      <w:r>
        <w:rPr>
          <w:rFonts w:ascii="宋体" w:hAnsi="宋体" w:cs="TimesNewRomanPSMT"/>
          <w:color w:val="auto"/>
          <w:kern w:val="0"/>
          <w:szCs w:val="21"/>
        </w:rPr>
        <w:t xml:space="preserve">4.1 </w:t>
      </w:r>
      <w:r>
        <w:rPr>
          <w:rFonts w:hint="eastAsia" w:ascii="宋体" w:hAnsi="宋体" w:cs="仿宋_GB2312"/>
          <w:color w:val="auto"/>
          <w:kern w:val="0"/>
          <w:szCs w:val="21"/>
        </w:rPr>
        <w:t>凡有意参加投标者，请于</w:t>
      </w:r>
      <w:r>
        <w:rPr>
          <w:rFonts w:hint="eastAsia" w:ascii="宋体" w:hAnsi="宋体" w:cs="宋体"/>
          <w:color w:val="auto"/>
          <w:kern w:val="0"/>
          <w:szCs w:val="21"/>
          <w:u w:val="single"/>
        </w:rPr>
        <w:t>2021年11月0</w:t>
      </w:r>
      <w:r>
        <w:rPr>
          <w:rFonts w:hint="eastAsia" w:ascii="宋体" w:hAnsi="宋体" w:cs="宋体"/>
          <w:color w:val="auto"/>
          <w:kern w:val="0"/>
          <w:szCs w:val="21"/>
          <w:u w:val="single"/>
          <w:lang w:val="en-US" w:eastAsia="zh-CN"/>
        </w:rPr>
        <w:t>9</w:t>
      </w:r>
      <w:r>
        <w:rPr>
          <w:rFonts w:hint="eastAsia" w:ascii="宋体" w:hAnsi="宋体" w:cs="宋体"/>
          <w:color w:val="auto"/>
          <w:kern w:val="0"/>
          <w:szCs w:val="21"/>
          <w:u w:val="single"/>
        </w:rPr>
        <w:t>日至2021年11月1</w:t>
      </w:r>
      <w:r>
        <w:rPr>
          <w:rFonts w:hint="eastAsia" w:ascii="宋体" w:hAnsi="宋体" w:cs="宋体"/>
          <w:color w:val="auto"/>
          <w:kern w:val="0"/>
          <w:szCs w:val="21"/>
          <w:u w:val="single"/>
          <w:lang w:val="en-US" w:eastAsia="zh-CN"/>
        </w:rPr>
        <w:t>1</w:t>
      </w:r>
      <w:r>
        <w:rPr>
          <w:rFonts w:hint="eastAsia" w:ascii="宋体" w:hAnsi="宋体" w:cs="宋体"/>
          <w:color w:val="auto"/>
          <w:kern w:val="0"/>
          <w:szCs w:val="21"/>
          <w:u w:val="single"/>
        </w:rPr>
        <w:t>日</w:t>
      </w:r>
      <w:r>
        <w:rPr>
          <w:rFonts w:hint="eastAsia" w:ascii="宋体" w:hAnsi="宋体" w:cs="仿宋_GB2312"/>
          <w:bCs/>
          <w:color w:val="auto"/>
          <w:kern w:val="0"/>
          <w:szCs w:val="21"/>
        </w:rPr>
        <w:t>，</w:t>
      </w:r>
      <w:r>
        <w:rPr>
          <w:rFonts w:hint="eastAsia" w:ascii="宋体" w:hAnsi="宋体" w:cs="仿宋_GB2312"/>
          <w:color w:val="auto"/>
          <w:kern w:val="0"/>
          <w:szCs w:val="21"/>
        </w:rPr>
        <w:t>在湖州南浔城投城市建设集团有限公司官网（www.hznxctszlh.com）查看招标信息。</w:t>
      </w:r>
    </w:p>
    <w:p>
      <w:pPr>
        <w:spacing w:line="400" w:lineRule="exact"/>
        <w:rPr>
          <w:rFonts w:ascii="宋体" w:hAnsi="宋体" w:cs="仿宋_GB2312"/>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2招标文件领取及投标时间：</w:t>
      </w:r>
      <w:r>
        <w:rPr>
          <w:rFonts w:hint="eastAsia" w:ascii="宋体" w:hAnsi="宋体" w:cs="仿宋_GB2312"/>
          <w:color w:val="auto"/>
          <w:kern w:val="0"/>
          <w:szCs w:val="21"/>
          <w:u w:val="single"/>
        </w:rPr>
        <w:t>以湖州南浔城投城市建设集团有限公司官网信息为准</w:t>
      </w:r>
      <w:r>
        <w:rPr>
          <w:rFonts w:hint="eastAsia" w:ascii="宋体" w:hAnsi="宋体" w:cs="仿宋_GB2312"/>
          <w:color w:val="auto"/>
          <w:kern w:val="0"/>
          <w:szCs w:val="21"/>
        </w:rPr>
        <w:t>。</w:t>
      </w:r>
    </w:p>
    <w:p>
      <w:pPr>
        <w:autoSpaceDE w:val="0"/>
        <w:autoSpaceDN w:val="0"/>
        <w:adjustRightInd w:val="0"/>
        <w:spacing w:line="40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投标文件的递交</w:t>
      </w:r>
    </w:p>
    <w:p>
      <w:pPr>
        <w:spacing w:line="400" w:lineRule="exact"/>
        <w:rPr>
          <w:rFonts w:ascii="宋体" w:hAnsi="宋体" w:cs="仿宋_GB2312"/>
          <w:color w:val="auto"/>
          <w:kern w:val="0"/>
          <w:szCs w:val="21"/>
        </w:rPr>
      </w:pPr>
      <w:r>
        <w:rPr>
          <w:rFonts w:ascii="宋体" w:hAnsi="宋体" w:cs="TimesNewRomanPSMT"/>
          <w:color w:val="auto"/>
          <w:kern w:val="0"/>
          <w:szCs w:val="21"/>
        </w:rPr>
        <w:t>5.1</w:t>
      </w:r>
      <w:r>
        <w:rPr>
          <w:rFonts w:hint="eastAsia" w:ascii="宋体" w:hAnsi="宋体" w:cs="仿宋_GB2312"/>
          <w:color w:val="auto"/>
          <w:kern w:val="0"/>
          <w:szCs w:val="21"/>
        </w:rPr>
        <w:t>投标文件以书面形式装订成册密封后于投标截止时前递交至公司招标办，投标文件采取书递交的形式，装订密封。</w:t>
      </w:r>
    </w:p>
    <w:p>
      <w:pPr>
        <w:autoSpaceDE w:val="0"/>
        <w:autoSpaceDN w:val="0"/>
        <w:adjustRightInd w:val="0"/>
        <w:spacing w:line="400" w:lineRule="exact"/>
        <w:jc w:val="left"/>
        <w:rPr>
          <w:rFonts w:ascii="宋体" w:hAnsi="宋体" w:cs="仿宋_GB2312"/>
          <w:color w:val="auto"/>
          <w:kern w:val="0"/>
          <w:szCs w:val="21"/>
        </w:rPr>
      </w:pPr>
      <w:r>
        <w:rPr>
          <w:rFonts w:hint="eastAsia" w:ascii="宋体" w:hAnsi="宋体" w:cs="仿宋_GB2312"/>
          <w:color w:val="auto"/>
          <w:kern w:val="0"/>
          <w:szCs w:val="21"/>
        </w:rPr>
        <w:t>5.2此工程分包招基础下浮费率为：</w:t>
      </w:r>
      <w:r>
        <w:rPr>
          <w:rFonts w:hint="eastAsia" w:ascii="宋体" w:hAnsi="宋体" w:cs="仿宋_GB2312"/>
          <w:color w:val="auto"/>
          <w:kern w:val="0"/>
          <w:szCs w:val="21"/>
          <w:u w:val="single"/>
        </w:rPr>
        <w:t>5</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 xml:space="preserve"> ,</w:t>
      </w:r>
      <w:r>
        <w:rPr>
          <w:rFonts w:hint="eastAsia" w:ascii="宋体" w:hAnsi="宋体" w:cs="仿宋_GB2312"/>
          <w:color w:val="auto"/>
          <w:kern w:val="0"/>
          <w:szCs w:val="21"/>
        </w:rPr>
        <w:t>审计结算价*</w:t>
      </w:r>
      <w:r>
        <w:rPr>
          <w:rFonts w:hint="eastAsia" w:ascii="宋体" w:hAnsi="宋体" w:cs="仿宋_GB2312"/>
          <w:color w:val="auto"/>
          <w:kern w:val="0"/>
          <w:szCs w:val="21"/>
          <w:lang w:val="en-US" w:eastAsia="zh-CN"/>
        </w:rPr>
        <w:t>(1-</w:t>
      </w:r>
      <w:r>
        <w:rPr>
          <w:rFonts w:hint="eastAsia" w:ascii="宋体" w:hAnsi="宋体" w:cs="仿宋_GB2312"/>
          <w:color w:val="auto"/>
          <w:kern w:val="0"/>
          <w:szCs w:val="21"/>
        </w:rPr>
        <w:t>下浮点率），且最高限价2</w:t>
      </w:r>
      <w:r>
        <w:rPr>
          <w:rFonts w:hint="eastAsia" w:ascii="宋体" w:hAnsi="宋体" w:cs="仿宋_GB2312"/>
          <w:color w:val="auto"/>
          <w:kern w:val="0"/>
          <w:szCs w:val="21"/>
          <w:lang w:val="en-US" w:eastAsia="zh-CN"/>
        </w:rPr>
        <w:t>3</w:t>
      </w:r>
      <w:r>
        <w:rPr>
          <w:rFonts w:hint="eastAsia" w:ascii="宋体" w:hAnsi="宋体" w:cs="仿宋_GB2312"/>
          <w:color w:val="auto"/>
          <w:kern w:val="0"/>
          <w:szCs w:val="21"/>
        </w:rPr>
        <w:t>0万元，投标单位投标报价不得低于基础价，否则作为废标处理。</w:t>
      </w:r>
    </w:p>
    <w:p>
      <w:pPr>
        <w:autoSpaceDE w:val="0"/>
        <w:autoSpaceDN w:val="0"/>
        <w:adjustRightInd w:val="0"/>
        <w:spacing w:line="400" w:lineRule="exact"/>
        <w:jc w:val="left"/>
        <w:rPr>
          <w:rFonts w:ascii="宋体" w:hAnsi="宋体" w:cs="仿宋_GB2312"/>
          <w:color w:val="auto"/>
          <w:kern w:val="0"/>
          <w:szCs w:val="21"/>
        </w:rPr>
      </w:pPr>
      <w:r>
        <w:rPr>
          <w:rFonts w:hint="eastAsia" w:ascii="宋体" w:hAnsi="宋体" w:cs="仿宋_GB2312"/>
          <w:color w:val="auto"/>
          <w:kern w:val="0"/>
          <w:szCs w:val="21"/>
        </w:rPr>
        <w:t>5.3投标时所附文件包括：《投标函》、《法人授权委托书》、《营业执照》、《企业资质》、《</w:t>
      </w:r>
      <w:r>
        <w:rPr>
          <w:rFonts w:hint="eastAsia" w:ascii="宋体" w:hAnsi="宋体" w:cs="仿宋_GB2312"/>
          <w:color w:val="auto"/>
          <w:kern w:val="0"/>
          <w:szCs w:val="21"/>
          <w:lang w:val="en-US" w:eastAsia="zh-CN"/>
        </w:rPr>
        <w:t>投标保证金银行回执</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r>
        <w:rPr>
          <w:rFonts w:hint="eastAsia"/>
          <w:color w:val="auto"/>
          <w:szCs w:val="21"/>
        </w:rPr>
        <w:t>《设计图纸</w:t>
      </w:r>
      <w:r>
        <w:rPr>
          <w:rFonts w:hint="eastAsia" w:ascii="宋体" w:hAnsi="宋体" w:cs="宋体"/>
          <w:color w:val="auto"/>
          <w:kern w:val="0"/>
          <w:szCs w:val="21"/>
        </w:rPr>
        <w:t>》</w:t>
      </w:r>
      <w:r>
        <w:rPr>
          <w:rFonts w:hint="eastAsia" w:ascii="宋体" w:hAnsi="宋体" w:cs="仿宋_GB2312"/>
          <w:color w:val="auto"/>
          <w:kern w:val="0"/>
          <w:szCs w:val="21"/>
        </w:rPr>
        <w:t>、</w:t>
      </w:r>
      <w:r>
        <w:rPr>
          <w:rFonts w:hint="eastAsia"/>
          <w:color w:val="auto"/>
          <w:szCs w:val="21"/>
        </w:rPr>
        <w:t>《工程量清单</w:t>
      </w:r>
      <w:r>
        <w:rPr>
          <w:rFonts w:hint="eastAsia" w:ascii="宋体" w:hAnsi="宋体" w:cs="宋体"/>
          <w:color w:val="auto"/>
          <w:kern w:val="0"/>
          <w:szCs w:val="21"/>
        </w:rPr>
        <w:t>》</w:t>
      </w:r>
      <w:r>
        <w:rPr>
          <w:rFonts w:hint="eastAsia" w:ascii="宋体" w:hAnsi="宋体" w:cs="仿宋_GB2312"/>
          <w:color w:val="auto"/>
          <w:kern w:val="0"/>
          <w:szCs w:val="21"/>
        </w:rPr>
        <w:t>、《施工方案》、《业绩情况》、《分包项目管理人员表》、《项目管理组织机构》，分包项目管理人员名单附相对应人员的有效证件。</w:t>
      </w:r>
    </w:p>
    <w:p>
      <w:pPr>
        <w:autoSpaceDE w:val="0"/>
        <w:autoSpaceDN w:val="0"/>
        <w:adjustRightInd w:val="0"/>
        <w:spacing w:line="400" w:lineRule="exact"/>
        <w:jc w:val="left"/>
        <w:rPr>
          <w:color w:val="auto"/>
        </w:rPr>
      </w:pPr>
      <w:r>
        <w:rPr>
          <w:rFonts w:ascii="宋体" w:hAnsi="宋体" w:cs="仿宋_GB2312"/>
          <w:color w:val="auto"/>
          <w:kern w:val="0"/>
          <w:szCs w:val="21"/>
        </w:rPr>
        <w:t>5.</w:t>
      </w:r>
      <w:r>
        <w:rPr>
          <w:rFonts w:hint="eastAsia" w:ascii="宋体" w:hAnsi="宋体" w:cs="仿宋_GB2312"/>
          <w:color w:val="auto"/>
          <w:kern w:val="0"/>
          <w:szCs w:val="21"/>
        </w:rPr>
        <w:t>4</w:t>
      </w:r>
      <w:r>
        <w:rPr>
          <w:rFonts w:hint="eastAsia" w:ascii="宋体" w:hAnsi="宋体" w:cs="仿宋_GB2312"/>
          <w:color w:val="auto"/>
          <w:szCs w:val="21"/>
        </w:rPr>
        <w:t>规定的投标时间截止后招标单位不接收投标文件。</w:t>
      </w:r>
    </w:p>
    <w:p>
      <w:pPr>
        <w:autoSpaceDE w:val="0"/>
        <w:autoSpaceDN w:val="0"/>
        <w:adjustRightInd w:val="0"/>
        <w:jc w:val="center"/>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9"/>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2"/>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2"/>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s="仿宋_GB2312"/>
                <w:color w:val="auto"/>
                <w:sz w:val="21"/>
                <w:szCs w:val="21"/>
              </w:rPr>
              <w:t>莘工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Cs w:val="21"/>
              </w:rPr>
              <w:t>善琏、旧馆卫生院手术室、检验科、抢救室设计及施工专业分包工程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2"/>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eastAsia" w:hAnsi="宋体" w:eastAsia="宋体"/>
                <w:color w:val="auto"/>
                <w:szCs w:val="21"/>
                <w:lang w:eastAsia="zh-CN"/>
              </w:rPr>
            </w:pPr>
            <w:r>
              <w:rPr>
                <w:rFonts w:hint="eastAsia" w:ascii="宋体" w:hAnsi="宋体" w:cs="宋体"/>
                <w:color w:val="auto"/>
                <w:kern w:val="0"/>
                <w:szCs w:val="21"/>
                <w:u w:val="none"/>
              </w:rPr>
              <w:t>善琏、旧馆卫生院手术室、检验科、抢救室设计及施工专业分包工程</w:t>
            </w:r>
            <w:r>
              <w:rPr>
                <w:rFonts w:hint="eastAsia" w:ascii="宋体" w:hAnsi="宋体" w:cs="TimesNewRomanPSMT"/>
                <w:color w:val="auto"/>
                <w:kern w:val="0"/>
                <w:szCs w:val="21"/>
              </w:rPr>
              <w:t>，包含内</w:t>
            </w:r>
            <w:r>
              <w:rPr>
                <w:rFonts w:hint="eastAsia" w:ascii="宋体" w:hAnsi="宋体" w:cs="TimesNewRomanPSMT"/>
                <w:color w:val="auto"/>
                <w:kern w:val="0"/>
                <w:szCs w:val="21"/>
                <w:lang w:eastAsia="zh-CN"/>
              </w:rPr>
              <w:t>洁净</w:t>
            </w:r>
            <w:r>
              <w:rPr>
                <w:rFonts w:hint="eastAsia" w:ascii="宋体" w:hAnsi="宋体" w:cs="TimesNewRomanPSMT"/>
                <w:color w:val="auto"/>
                <w:kern w:val="0"/>
                <w:szCs w:val="21"/>
              </w:rPr>
              <w:t>地面、</w:t>
            </w:r>
            <w:r>
              <w:rPr>
                <w:rFonts w:hint="eastAsia" w:ascii="宋体" w:hAnsi="宋体" w:cs="TimesNewRomanPSMT"/>
                <w:color w:val="auto"/>
                <w:kern w:val="0"/>
                <w:szCs w:val="21"/>
                <w:lang w:eastAsia="zh-CN"/>
              </w:rPr>
              <w:t>结构</w:t>
            </w:r>
            <w:r>
              <w:rPr>
                <w:rFonts w:hint="eastAsia" w:ascii="宋体" w:hAnsi="宋体" w:cs="TimesNewRomanPSMT"/>
                <w:color w:val="auto"/>
                <w:kern w:val="0"/>
                <w:szCs w:val="21"/>
              </w:rPr>
              <w:t>墙面、</w:t>
            </w:r>
            <w:r>
              <w:rPr>
                <w:rFonts w:hint="eastAsia" w:ascii="宋体" w:hAnsi="宋体" w:cs="TimesNewRomanPSMT"/>
                <w:color w:val="auto"/>
                <w:kern w:val="0"/>
                <w:szCs w:val="21"/>
                <w:lang w:eastAsia="zh-CN"/>
              </w:rPr>
              <w:t>洁净</w:t>
            </w:r>
            <w:r>
              <w:rPr>
                <w:rFonts w:hint="eastAsia" w:ascii="宋体" w:hAnsi="宋体" w:cs="TimesNewRomanPSMT"/>
                <w:color w:val="auto"/>
                <w:kern w:val="0"/>
                <w:szCs w:val="21"/>
              </w:rPr>
              <w:t>天棚、</w:t>
            </w:r>
            <w:r>
              <w:rPr>
                <w:rFonts w:hint="eastAsia" w:ascii="宋体" w:hAnsi="宋体" w:cs="TimesNewRomanPSMT"/>
                <w:color w:val="auto"/>
                <w:kern w:val="0"/>
                <w:szCs w:val="21"/>
                <w:lang w:eastAsia="zh-CN"/>
              </w:rPr>
              <w:t>洁净</w:t>
            </w:r>
            <w:r>
              <w:rPr>
                <w:rFonts w:hint="eastAsia" w:ascii="宋体" w:hAnsi="宋体" w:cs="TimesNewRomanPSMT"/>
                <w:color w:val="auto"/>
                <w:kern w:val="0"/>
                <w:szCs w:val="21"/>
              </w:rPr>
              <w:t>门等的装修、</w:t>
            </w:r>
            <w:r>
              <w:rPr>
                <w:rFonts w:hint="eastAsia" w:ascii="宋体" w:hAnsi="宋体" w:cs="TimesNewRomanPSMT"/>
                <w:color w:val="auto"/>
                <w:kern w:val="0"/>
                <w:szCs w:val="21"/>
                <w:lang w:eastAsia="zh-CN"/>
              </w:rPr>
              <w:t>专业</w:t>
            </w:r>
            <w:r>
              <w:rPr>
                <w:rFonts w:hint="eastAsia" w:ascii="宋体" w:hAnsi="宋体" w:cs="TimesNewRomanPSMT"/>
                <w:color w:val="auto"/>
                <w:kern w:val="0"/>
                <w:szCs w:val="21"/>
              </w:rPr>
              <w:t>电气、</w:t>
            </w:r>
            <w:r>
              <w:rPr>
                <w:rFonts w:hint="eastAsia" w:ascii="宋体" w:hAnsi="宋体" w:cs="TimesNewRomanPSMT"/>
                <w:color w:val="auto"/>
                <w:kern w:val="0"/>
                <w:szCs w:val="21"/>
                <w:lang w:eastAsia="zh-CN"/>
              </w:rPr>
              <w:t>专业</w:t>
            </w:r>
            <w:r>
              <w:rPr>
                <w:rFonts w:hint="eastAsia" w:ascii="宋体" w:hAnsi="宋体" w:cs="TimesNewRomanPSMT"/>
                <w:color w:val="auto"/>
                <w:kern w:val="0"/>
                <w:szCs w:val="21"/>
              </w:rPr>
              <w:t>暖通及相关设备采购安装，</w:t>
            </w:r>
            <w:r>
              <w:rPr>
                <w:rFonts w:hint="eastAsia" w:ascii="宋体" w:hAnsi="宋体" w:eastAsia="宋体" w:cs="宋体"/>
                <w:b w:val="0"/>
                <w:bCs w:val="0"/>
                <w:color w:val="auto"/>
                <w:kern w:val="0"/>
                <w:sz w:val="21"/>
                <w:szCs w:val="21"/>
                <w:u w:val="none"/>
                <w:lang w:val="en-US" w:eastAsia="zh-CN" w:bidi="ar-SA"/>
              </w:rPr>
              <w:t>直至满足功能性要求及业主单位要求并达到竣工验收合格为止</w:t>
            </w:r>
            <w:r>
              <w:rPr>
                <w:rFonts w:hint="eastAsia" w:ascii="宋体" w:hAnsi="宋体" w:cs="TimesNewRomanPSMT"/>
                <w:color w:val="auto"/>
                <w:kern w:val="0"/>
                <w:szCs w:val="21"/>
                <w:lang w:val="en-US" w:eastAsia="zh-CN"/>
              </w:rPr>
              <w:t>，</w:t>
            </w:r>
            <w:r>
              <w:rPr>
                <w:rFonts w:hint="eastAsia" w:ascii="宋体" w:hAnsi="宋体" w:cs="TimesNewRomanPSMT"/>
                <w:color w:val="auto"/>
                <w:kern w:val="0"/>
                <w:szCs w:val="21"/>
              </w:rPr>
              <w:t>具体内容详见</w:t>
            </w:r>
            <w:r>
              <w:rPr>
                <w:rFonts w:hint="eastAsia" w:ascii="宋体" w:hAnsi="宋体" w:cs="TimesNewRomanPSMT"/>
                <w:color w:val="auto"/>
                <w:kern w:val="0"/>
                <w:szCs w:val="21"/>
                <w:lang w:eastAsia="zh-CN"/>
              </w:rPr>
              <w:t>工程量清单。</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2"/>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int="eastAsia" w:hAnsi="宋体"/>
                <w:color w:val="auto"/>
                <w:sz w:val="21"/>
                <w:szCs w:val="21"/>
              </w:rPr>
              <w:t>绝对工期：45日历天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2"/>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int="eastAsia" w:hAnsi="宋体"/>
                <w:color w:val="auto"/>
                <w:sz w:val="21"/>
                <w:szCs w:val="21"/>
              </w:rPr>
              <w:t>计划开工日期：2021年</w:t>
            </w:r>
            <w:r>
              <w:rPr>
                <w:rFonts w:hint="eastAsia" w:hAnsi="宋体"/>
                <w:color w:val="auto"/>
                <w:sz w:val="21"/>
                <w:szCs w:val="21"/>
                <w:lang w:val="en-US" w:eastAsia="zh-CN"/>
              </w:rPr>
              <w:t>11</w:t>
            </w:r>
            <w:r>
              <w:rPr>
                <w:rFonts w:hint="eastAsia" w:hAnsi="宋体"/>
                <w:color w:val="auto"/>
                <w:sz w:val="21"/>
                <w:szCs w:val="21"/>
              </w:rPr>
              <w:t>月</w:t>
            </w:r>
            <w:r>
              <w:rPr>
                <w:rFonts w:hint="eastAsia" w:hAnsi="宋体"/>
                <w:color w:val="auto"/>
                <w:sz w:val="21"/>
                <w:szCs w:val="21"/>
                <w:lang w:val="en-US" w:eastAsia="zh-CN"/>
              </w:rPr>
              <w:t>20</w:t>
            </w:r>
            <w:r>
              <w:rPr>
                <w:rFonts w:hint="eastAsia" w:hAnsi="宋体"/>
                <w:color w:val="auto"/>
                <w:sz w:val="21"/>
                <w:szCs w:val="21"/>
              </w:rPr>
              <w:t>日（具体以业主要求为准）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2"/>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2"/>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 xml:space="preserve">不组织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11</w:t>
            </w:r>
            <w:r>
              <w:rPr>
                <w:rFonts w:hint="eastAsia" w:ascii="宋体" w:hAnsi="宋体" w:cs="仿宋_GB2312"/>
                <w:bCs/>
                <w:color w:val="auto"/>
                <w:kern w:val="0"/>
                <w:szCs w:val="21"/>
                <w:highlight w:val="yellow"/>
              </w:rPr>
              <w:t>月1</w:t>
            </w:r>
            <w:r>
              <w:rPr>
                <w:rFonts w:hint="eastAsia" w:ascii="宋体" w:hAnsi="宋体" w:cs="仿宋_GB2312"/>
                <w:bCs/>
                <w:color w:val="auto"/>
                <w:kern w:val="0"/>
                <w:szCs w:val="21"/>
                <w:highlight w:val="yellow"/>
                <w:lang w:val="en-US" w:eastAsia="zh-CN"/>
              </w:rPr>
              <w:t>2</w:t>
            </w:r>
            <w:r>
              <w:rPr>
                <w:rFonts w:hint="eastAsia" w:ascii="宋体" w:hAnsi="宋体" w:cs="仿宋_GB2312"/>
                <w:bCs/>
                <w:color w:val="auto"/>
                <w:kern w:val="0"/>
                <w:szCs w:val="21"/>
                <w:highlight w:val="yellow"/>
              </w:rPr>
              <w:t>日9时30分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highlight w:val="none"/>
              </w:rPr>
            </w:pPr>
            <w:r>
              <w:rPr>
                <w:rFonts w:ascii="宋体" w:hAnsi="宋体"/>
                <w:color w:val="auto"/>
                <w:kern w:val="0"/>
                <w:szCs w:val="21"/>
                <w:highlight w:val="none"/>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none"/>
              </w:rPr>
            </w:pPr>
            <w:r>
              <w:rPr>
                <w:rFonts w:hint="eastAsia" w:ascii="宋体" w:hAnsi="宋体"/>
                <w:color w:val="auto"/>
                <w:kern w:val="0"/>
                <w:szCs w:val="21"/>
                <w:highlight w:val="none"/>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highlight w:val="none"/>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none"/>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color w:val="auto"/>
                <w:kern w:val="0"/>
                <w:szCs w:val="21"/>
                <w:highlight w:val="none"/>
              </w:rPr>
            </w:pPr>
            <w:r>
              <w:rPr>
                <w:rFonts w:hint="eastAsia" w:ascii="宋体" w:hAnsi="宋体"/>
                <w:color w:val="auto"/>
                <w:kern w:val="0"/>
                <w:szCs w:val="21"/>
                <w:highlight w:val="none"/>
                <w:u w:val="single"/>
                <w:lang w:val="en-US" w:eastAsia="zh-CN"/>
              </w:rPr>
              <w:t>2</w:t>
            </w:r>
            <w:r>
              <w:rPr>
                <w:rFonts w:hint="eastAsia" w:ascii="宋体" w:hAnsi="宋体"/>
                <w:color w:val="auto"/>
                <w:kern w:val="0"/>
                <w:szCs w:val="21"/>
                <w:highlight w:val="none"/>
              </w:rPr>
              <w:t>万元（大写金额</w:t>
            </w:r>
            <w:r>
              <w:rPr>
                <w:rFonts w:hint="eastAsia" w:ascii="宋体" w:hAnsi="宋体"/>
                <w:color w:val="auto"/>
                <w:kern w:val="0"/>
                <w:szCs w:val="21"/>
                <w:highlight w:val="none"/>
                <w:u w:val="single"/>
                <w:lang w:val="en-US" w:eastAsia="zh-CN"/>
              </w:rPr>
              <w:t>贰万元</w:t>
            </w:r>
            <w:r>
              <w:rPr>
                <w:rFonts w:hint="eastAsia" w:ascii="宋体" w:hAnsi="宋体"/>
                <w:color w:val="auto"/>
                <w:kern w:val="0"/>
                <w:szCs w:val="21"/>
                <w:highlight w:val="none"/>
              </w:rPr>
              <w:t>整）</w:t>
            </w:r>
            <w:r>
              <w:rPr>
                <w:rFonts w:hint="eastAsia" w:ascii="宋体" w:hAnsi="宋体"/>
                <w:color w:val="auto"/>
                <w:kern w:val="0"/>
                <w:szCs w:val="21"/>
                <w:highlight w:val="none"/>
                <w:lang w:eastAsia="zh-CN"/>
              </w:rPr>
              <w:t>，</w:t>
            </w:r>
            <w:r>
              <w:rPr>
                <w:rFonts w:hint="eastAsia" w:ascii="宋体" w:hAnsi="宋体"/>
                <w:color w:val="auto"/>
                <w:kern w:val="0"/>
                <w:szCs w:val="21"/>
                <w:lang w:val="en-US" w:eastAsia="zh-CN"/>
              </w:rPr>
              <w:t>在建设集团分包库内且已缴入库保证金的投标单位可不缴纳。</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highlight w:val="none"/>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none"/>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none"/>
              </w:rPr>
            </w:pPr>
            <w:r>
              <w:rPr>
                <w:rFonts w:hint="eastAsia" w:ascii="宋体" w:hAnsi="宋体"/>
                <w:color w:val="auto"/>
                <w:kern w:val="0"/>
                <w:szCs w:val="21"/>
                <w:highlight w:val="none"/>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color w:val="auto"/>
              </w:rPr>
            </w:pPr>
            <w:r>
              <w:rPr>
                <w:rFonts w:hint="eastAsia"/>
                <w:color w:val="auto"/>
              </w:rPr>
              <w:t>投标保证金凭证备注：</w:t>
            </w: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湖州南浔城投城市建设集团有限公司竞标办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2"/>
        <w:keepNext w:val="0"/>
        <w:keepLines w:val="0"/>
        <w:pageBreakBefore w:val="0"/>
        <w:widowControl w:val="0"/>
        <w:kinsoku/>
        <w:wordWrap/>
        <w:overflowPunct/>
        <w:topLinePunct w:val="0"/>
        <w:bidi w:val="0"/>
        <w:spacing w:line="400" w:lineRule="exact"/>
        <w:textAlignment w:val="auto"/>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2</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贰</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rPr>
        <w:t>6</w:t>
      </w:r>
      <w:r>
        <w:rPr>
          <w:rFonts w:hint="eastAsia" w:ascii="宋体" w:hAnsi="宋体" w:cs="仿宋_GB2312"/>
          <w:color w:val="auto"/>
          <w:kern w:val="0"/>
          <w:szCs w:val="21"/>
        </w:rPr>
        <w:t>）参考清单；（</w:t>
      </w:r>
      <w:r>
        <w:rPr>
          <w:rFonts w:hint="eastAsia" w:ascii="宋体" w:hAnsi="宋体" w:cs="TimesNewRomanPSMT"/>
          <w:color w:val="auto"/>
          <w:kern w:val="0"/>
          <w:szCs w:val="21"/>
        </w:rPr>
        <w:t>7</w:t>
      </w:r>
      <w:r>
        <w:rPr>
          <w:rFonts w:hint="eastAsia" w:ascii="宋体" w:hAnsi="宋体" w:cs="仿宋_GB2312"/>
          <w:color w:val="auto"/>
          <w:kern w:val="0"/>
          <w:szCs w:val="21"/>
        </w:rPr>
        <w:t>）工程底图；（</w:t>
      </w:r>
      <w:r>
        <w:rPr>
          <w:rFonts w:hint="eastAsia" w:ascii="宋体" w:hAnsi="宋体" w:cs="TimesNewRomanPSMT"/>
          <w:color w:val="auto"/>
          <w:kern w:val="0"/>
          <w:szCs w:val="21"/>
        </w:rPr>
        <w:t>8</w:t>
      </w:r>
      <w:r>
        <w:rPr>
          <w:rFonts w:hint="eastAsia" w:ascii="宋体" w:hAnsi="宋体" w:cs="仿宋_GB2312"/>
          <w:color w:val="auto"/>
          <w:kern w:val="0"/>
          <w:szCs w:val="21"/>
        </w:rPr>
        <w:t>）技术标准和要求；（</w:t>
      </w:r>
      <w:r>
        <w:rPr>
          <w:rFonts w:hint="eastAsia" w:ascii="宋体" w:hAnsi="宋体" w:cs="TimesNewRomanPSMT"/>
          <w:color w:val="auto"/>
          <w:kern w:val="0"/>
          <w:szCs w:val="21"/>
        </w:rPr>
        <w:t>9</w:t>
      </w:r>
      <w:r>
        <w:rPr>
          <w:rFonts w:hint="eastAsia" w:ascii="宋体" w:hAnsi="宋体" w:cs="仿宋_GB2312"/>
          <w:color w:val="auto"/>
          <w:kern w:val="0"/>
          <w:szCs w:val="21"/>
        </w:rPr>
        <w:t>）投标文件格式；（</w:t>
      </w:r>
      <w:r>
        <w:rPr>
          <w:rFonts w:hint="eastAsia" w:ascii="宋体" w:hAnsi="宋体" w:cs="TimesNewRomanPSMT"/>
          <w:color w:val="auto"/>
          <w:kern w:val="0"/>
          <w:szCs w:val="21"/>
        </w:rPr>
        <w:t>10</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3.1.1 </w:t>
      </w:r>
      <w:r>
        <w:rPr>
          <w:rFonts w:hint="eastAsia" w:ascii="宋体" w:hAnsi="宋体" w:cs="仿宋_GB2312"/>
          <w:color w:val="auto"/>
          <w:kern w:val="0"/>
          <w:szCs w:val="21"/>
        </w:rPr>
        <w:t>投标文件应包括下列内容：《投标函》、《法人授权委托书》、《营业执照》、《企业资质》、《</w:t>
      </w:r>
      <w:r>
        <w:rPr>
          <w:rFonts w:hint="eastAsia" w:ascii="宋体" w:hAnsi="宋体" w:cs="仿宋_GB2312"/>
          <w:color w:val="auto"/>
          <w:kern w:val="0"/>
          <w:szCs w:val="21"/>
          <w:lang w:val="en-US" w:eastAsia="zh-CN"/>
        </w:rPr>
        <w:t>投标保证金银行回执</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r>
        <w:rPr>
          <w:rFonts w:hint="eastAsia"/>
          <w:color w:val="auto"/>
          <w:szCs w:val="21"/>
        </w:rPr>
        <w:t>《工程量清单</w:t>
      </w:r>
      <w:r>
        <w:rPr>
          <w:rFonts w:hint="eastAsia" w:ascii="宋体" w:hAnsi="宋体" w:cs="宋体"/>
          <w:color w:val="auto"/>
          <w:kern w:val="0"/>
          <w:szCs w:val="21"/>
        </w:rPr>
        <w:t>》</w:t>
      </w:r>
      <w:r>
        <w:rPr>
          <w:rFonts w:hint="eastAsia" w:ascii="宋体" w:hAnsi="宋体" w:cs="仿宋_GB2312"/>
          <w:color w:val="auto"/>
          <w:kern w:val="0"/>
          <w:szCs w:val="21"/>
        </w:rPr>
        <w:t>、</w:t>
      </w:r>
      <w:r>
        <w:rPr>
          <w:rFonts w:hint="eastAsia"/>
          <w:color w:val="auto"/>
          <w:szCs w:val="21"/>
        </w:rPr>
        <w:t>《设计图纸</w:t>
      </w:r>
      <w:r>
        <w:rPr>
          <w:rFonts w:hint="eastAsia" w:ascii="宋体" w:hAnsi="宋体" w:cs="宋体"/>
          <w:color w:val="auto"/>
          <w:kern w:val="0"/>
          <w:szCs w:val="21"/>
        </w:rPr>
        <w:t>》</w:t>
      </w:r>
      <w:r>
        <w:rPr>
          <w:rFonts w:hint="eastAsia" w:ascii="宋体" w:hAnsi="宋体" w:cs="仿宋_GB2312"/>
          <w:color w:val="auto"/>
          <w:kern w:val="0"/>
          <w:szCs w:val="21"/>
        </w:rPr>
        <w:t>、《施工方案》、《业绩情况》、《分包项目管理人员表》、《项目管理组织机构》，分包项目管理人员名单附相对应人员的有效证件。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b/>
          <w:color w:val="auto"/>
          <w:szCs w:val="21"/>
          <w:u w:val="single"/>
        </w:rPr>
      </w:pPr>
      <w:r>
        <w:rPr>
          <w:rFonts w:ascii="宋体" w:hAnsi="宋体" w:cs="仿宋_GB2312"/>
          <w:color w:val="auto"/>
          <w:kern w:val="0"/>
          <w:szCs w:val="21"/>
        </w:rPr>
        <w:t xml:space="preserve">3.2.2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仿宋_GB2312"/>
          <w:color w:val="auto"/>
          <w:kern w:val="0"/>
          <w:szCs w:val="21"/>
          <w:highlight w:val="none"/>
        </w:rPr>
      </w:pPr>
      <w:r>
        <w:rPr>
          <w:rFonts w:ascii="宋体" w:hAnsi="宋体" w:cs="TimesNewRomanPSMT"/>
          <w:color w:val="auto"/>
          <w:kern w:val="0"/>
          <w:szCs w:val="21"/>
          <w:highlight w:val="none"/>
        </w:rPr>
        <w:t xml:space="preserve">3.4.1 </w:t>
      </w:r>
      <w:r>
        <w:rPr>
          <w:rFonts w:hint="eastAsia" w:ascii="宋体" w:hAnsi="宋体" w:cs="仿宋_GB2312"/>
          <w:color w:val="auto"/>
          <w:kern w:val="0"/>
          <w:szCs w:val="21"/>
          <w:highlight w:val="none"/>
        </w:rPr>
        <w:t>本次招标收取投标保证金</w:t>
      </w:r>
      <w:r>
        <w:rPr>
          <w:rFonts w:hint="eastAsia" w:ascii="宋体" w:hAnsi="宋体" w:cs="仿宋_GB2312"/>
          <w:color w:val="auto"/>
          <w:kern w:val="0"/>
          <w:szCs w:val="21"/>
          <w:highlight w:val="none"/>
          <w:lang w:eastAsia="zh-CN"/>
        </w:rPr>
        <w:t>2</w:t>
      </w:r>
      <w:r>
        <w:rPr>
          <w:rFonts w:hint="eastAsia" w:ascii="宋体" w:hAnsi="宋体" w:cs="仿宋_GB2312"/>
          <w:b/>
          <w:bCs/>
          <w:color w:val="auto"/>
          <w:kern w:val="0"/>
          <w:szCs w:val="21"/>
          <w:highlight w:val="none"/>
          <w:u w:val="single"/>
        </w:rPr>
        <w:t>万</w:t>
      </w:r>
      <w:r>
        <w:rPr>
          <w:rFonts w:hint="eastAsia" w:ascii="宋体" w:hAnsi="宋体" w:cs="仿宋_GB2312"/>
          <w:b/>
          <w:bCs/>
          <w:color w:val="auto"/>
          <w:kern w:val="0"/>
          <w:szCs w:val="21"/>
          <w:highlight w:val="none"/>
        </w:rPr>
        <w:t>元</w:t>
      </w:r>
      <w:r>
        <w:rPr>
          <w:rFonts w:hint="eastAsia" w:ascii="宋体" w:hAnsi="宋体" w:cs="仿宋_GB2312"/>
          <w:color w:val="auto"/>
          <w:kern w:val="0"/>
          <w:szCs w:val="21"/>
          <w:highlight w:val="none"/>
        </w:rPr>
        <w:t>（</w:t>
      </w:r>
      <w:r>
        <w:rPr>
          <w:rFonts w:hint="eastAsia" w:ascii="宋体" w:hAnsi="宋体"/>
          <w:color w:val="auto"/>
          <w:kern w:val="0"/>
          <w:szCs w:val="21"/>
          <w:highlight w:val="none"/>
        </w:rPr>
        <w:t>大写金额：</w:t>
      </w:r>
      <w:r>
        <w:rPr>
          <w:rFonts w:hint="eastAsia" w:ascii="宋体" w:hAnsi="宋体"/>
          <w:color w:val="auto"/>
          <w:kern w:val="0"/>
          <w:szCs w:val="21"/>
          <w:highlight w:val="none"/>
          <w:u w:val="single"/>
          <w:lang w:val="en-US" w:eastAsia="zh-CN"/>
        </w:rPr>
        <w:t>贰</w:t>
      </w:r>
      <w:r>
        <w:rPr>
          <w:rFonts w:hint="eastAsia" w:ascii="宋体" w:hAnsi="宋体"/>
          <w:color w:val="auto"/>
          <w:kern w:val="0"/>
          <w:szCs w:val="21"/>
          <w:highlight w:val="none"/>
          <w:u w:val="single"/>
        </w:rPr>
        <w:t>万圆</w:t>
      </w:r>
      <w:r>
        <w:rPr>
          <w:rFonts w:hint="eastAsia" w:ascii="宋体" w:hAnsi="宋体"/>
          <w:color w:val="auto"/>
          <w:kern w:val="0"/>
          <w:szCs w:val="21"/>
          <w:highlight w:val="none"/>
        </w:rPr>
        <w:t>整</w:t>
      </w:r>
      <w:r>
        <w:rPr>
          <w:rFonts w:hint="eastAsia" w:ascii="宋体" w:hAnsi="宋体"/>
          <w:color w:val="auto"/>
          <w:kern w:val="0"/>
          <w:szCs w:val="21"/>
          <w:highlight w:val="none"/>
          <w:lang w:eastAsia="zh-CN"/>
        </w:rPr>
        <w:t>），</w:t>
      </w:r>
      <w:r>
        <w:rPr>
          <w:rFonts w:hint="eastAsia" w:ascii="宋体" w:hAnsi="宋体"/>
          <w:color w:val="auto"/>
          <w:kern w:val="0"/>
          <w:szCs w:val="21"/>
          <w:lang w:val="en-US" w:eastAsia="zh-CN"/>
        </w:rPr>
        <w:t>在建设集团分包库内且已缴入库保证金的投标单位可不缴纳</w:t>
      </w:r>
      <w:r>
        <w:rPr>
          <w:rFonts w:hint="eastAsia" w:ascii="宋体" w:hAnsi="宋体" w:cs="仿宋_GB2312"/>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 xml:space="preserve">2 </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cs="TimesNewRomanPSMT"/>
          <w:color w:val="auto"/>
          <w:kern w:val="0"/>
          <w:szCs w:val="21"/>
        </w:rPr>
      </w:pPr>
      <w:r>
        <w:rPr>
          <w:rFonts w:hint="eastAsia" w:ascii="宋体" w:hAnsi="宋体" w:cs="仿宋_GB2312"/>
          <w:color w:val="auto"/>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综合评分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7.3.2 </w:t>
      </w:r>
      <w:r>
        <w:rPr>
          <w:rFonts w:hint="eastAsia" w:ascii="宋体" w:hAnsi="宋体" w:cs="仿宋_GB2312"/>
          <w:color w:val="auto"/>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7.4 </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7.4.1 </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7.4.2 </w:t>
      </w:r>
      <w:r>
        <w:rPr>
          <w:rFonts w:hint="eastAsia" w:ascii="宋体" w:hAnsi="宋体" w:cs="仿宋_GB2312"/>
          <w:color w:val="auto"/>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400" w:lineRule="exact"/>
        <w:textAlignment w:val="auto"/>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bookmarkStart w:id="2" w:name="_Toc152045575"/>
      <w:bookmarkStart w:id="3" w:name="_Toc144974543"/>
      <w:bookmarkStart w:id="4" w:name="_Toc246996219"/>
      <w:bookmarkStart w:id="5" w:name="_Toc246996962"/>
      <w:bookmarkStart w:id="6" w:name="_Toc296590983"/>
      <w:bookmarkStart w:id="7" w:name="_Toc296602462"/>
      <w:bookmarkStart w:id="8" w:name="_Toc247085733"/>
      <w:bookmarkStart w:id="9" w:name="_Toc179632593"/>
      <w:bookmarkStart w:id="10" w:name="_Toc152042351"/>
      <w:r>
        <w:rPr>
          <w:rFonts w:hint="eastAsia" w:ascii="宋体" w:hAnsi="宋体" w:cs="TimesNewRomanPSMT"/>
          <w:color w:val="auto"/>
          <w:kern w:val="0"/>
          <w:szCs w:val="21"/>
        </w:rPr>
        <w:t>9.1 对招标人的纪律要求</w:t>
      </w:r>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bookmarkStart w:id="11" w:name="_Toc246996963"/>
      <w:bookmarkStart w:id="12" w:name="_Toc247085734"/>
      <w:bookmarkStart w:id="13" w:name="_Toc246996220"/>
      <w:bookmarkStart w:id="14" w:name="_Toc179632594"/>
      <w:bookmarkStart w:id="15" w:name="_Toc144974544"/>
      <w:bookmarkStart w:id="16" w:name="_Toc152045576"/>
      <w:bookmarkStart w:id="17" w:name="_Toc152042352"/>
      <w:bookmarkStart w:id="18" w:name="_Toc296602463"/>
      <w:r>
        <w:rPr>
          <w:rFonts w:hint="eastAsia" w:ascii="宋体" w:hAnsi="宋体" w:cs="TimesNewRomanPSMT"/>
          <w:color w:val="auto"/>
          <w:kern w:val="0"/>
          <w:szCs w:val="21"/>
        </w:rPr>
        <w:t>9.2 对投标人的纪律要求</w:t>
      </w:r>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bookmarkStart w:id="19" w:name="_Toc152042353"/>
      <w:bookmarkStart w:id="20" w:name="_Toc296602464"/>
      <w:bookmarkStart w:id="21" w:name="_Toc144974545"/>
      <w:bookmarkStart w:id="22" w:name="_Toc179632595"/>
      <w:bookmarkStart w:id="23" w:name="_Toc152045577"/>
      <w:bookmarkStart w:id="24" w:name="_Toc246996221"/>
      <w:bookmarkStart w:id="25" w:name="_Toc247085735"/>
      <w:bookmarkStart w:id="26" w:name="_Toc246996964"/>
      <w:r>
        <w:rPr>
          <w:rFonts w:hint="eastAsia" w:ascii="宋体" w:hAnsi="宋体" w:cs="TimesNewRomanPSMT"/>
          <w:color w:val="auto"/>
          <w:kern w:val="0"/>
          <w:szCs w:val="21"/>
        </w:rPr>
        <w:t>9.3 对评标委员会成员的纪律要求</w:t>
      </w:r>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bookmarkStart w:id="27" w:name="_Toc247085736"/>
      <w:bookmarkStart w:id="28" w:name="_Toc152045578"/>
      <w:bookmarkStart w:id="29" w:name="_Toc296602465"/>
      <w:bookmarkStart w:id="30" w:name="_Toc179632596"/>
      <w:bookmarkStart w:id="31" w:name="_Toc246996222"/>
      <w:bookmarkStart w:id="32" w:name="_Toc152042354"/>
      <w:bookmarkStart w:id="33" w:name="_Toc246996965"/>
      <w:bookmarkStart w:id="34" w:name="_Toc144974546"/>
      <w:r>
        <w:rPr>
          <w:rFonts w:hint="eastAsia" w:ascii="宋体" w:hAnsi="宋体" w:cs="TimesNewRomanPSMT"/>
          <w:color w:val="auto"/>
          <w:kern w:val="0"/>
          <w:szCs w:val="21"/>
        </w:rPr>
        <w:t>9.4 对与评标活动有关的工作人员的纪律要求</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bookmarkStart w:id="35"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ascii="宋体" w:hAnsi="宋体" w:cs="TimesNewRomanPSMT"/>
          <w:color w:val="auto"/>
          <w:kern w:val="0"/>
          <w:szCs w:val="21"/>
        </w:rPr>
      </w:pPr>
      <w:bookmarkStart w:id="36" w:name="_Toc246996966"/>
      <w:bookmarkStart w:id="37" w:name="_Toc152042356"/>
      <w:bookmarkStart w:id="38" w:name="_Toc296602466"/>
      <w:bookmarkStart w:id="39" w:name="_Toc152045579"/>
      <w:bookmarkStart w:id="40" w:name="_Toc179632597"/>
      <w:bookmarkStart w:id="41" w:name="_Toc247085737"/>
      <w:bookmarkStart w:id="42" w:name="_Toc246996223"/>
      <w:r>
        <w:rPr>
          <w:rFonts w:hint="eastAsia" w:ascii="宋体" w:hAnsi="宋体" w:cs="TimesNewRomanPSMT"/>
          <w:color w:val="auto"/>
          <w:kern w:val="0"/>
          <w:szCs w:val="21"/>
        </w:rPr>
        <w:t>9.5 投诉</w:t>
      </w:r>
      <w:bookmarkEnd w:id="34"/>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color w:val="auto"/>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pStyle w:val="5"/>
        <w:ind w:left="0" w:leftChars="0" w:firstLine="0" w:firstLineChars="0"/>
        <w:rPr>
          <w:rFonts w:hint="eastAsia"/>
          <w:color w:val="auto"/>
        </w:rPr>
      </w:pPr>
    </w:p>
    <w:p>
      <w:pPr>
        <w:pStyle w:val="4"/>
        <w:spacing w:after="0" w:line="240" w:lineRule="auto"/>
        <w:ind w:left="0" w:leftChars="0" w:right="0" w:rightChars="0" w:firstLine="0" w:firstLineChars="0"/>
        <w:rPr>
          <w:b/>
          <w:bCs/>
          <w:color w:val="auto"/>
          <w:sz w:val="21"/>
          <w:szCs w:val="21"/>
        </w:rPr>
      </w:pPr>
      <w:r>
        <w:rPr>
          <w:rFonts w:hint="eastAsia"/>
          <w:b/>
          <w:bCs/>
          <w:color w:val="auto"/>
          <w:sz w:val="21"/>
          <w:szCs w:val="21"/>
        </w:rPr>
        <w:t>第三章评分方法</w:t>
      </w:r>
    </w:p>
    <w:p>
      <w:pPr>
        <w:rPr>
          <w:color w:val="auto"/>
        </w:rPr>
      </w:pPr>
    </w:p>
    <w:tbl>
      <w:tblPr>
        <w:tblStyle w:val="9"/>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jc w:val="left"/>
              <w:rPr>
                <w:rFonts w:ascii="宋体" w:hAnsi="宋体" w:cs="宋体"/>
                <w:color w:val="auto"/>
                <w:szCs w:val="21"/>
                <w:lang w:val="zh-CN"/>
              </w:rPr>
            </w:pPr>
            <w:r>
              <w:rPr>
                <w:rFonts w:hint="eastAsia" w:ascii="宋体" w:hAnsi="宋体" w:cs="宋体"/>
                <w:color w:val="auto"/>
                <w:szCs w:val="21"/>
              </w:rPr>
              <w:t>有效报价的平均值作为竞标基准价</w:t>
            </w:r>
          </w:p>
          <w:p>
            <w:pPr>
              <w:spacing w:beforeLines="0" w:afterLines="0"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1、当有效报价小于等于6家时，对通过商务评审的所有有效的响应报价进行算术平均，将算术平均值作为竞标基准价；</w:t>
            </w:r>
          </w:p>
          <w:p>
            <w:pPr>
              <w:widowControl/>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2、当有效报价大于6家时，对通过商务评审的所有有效报价中去掉一个最高价、一个最低价后的剩余投标报价进行算术平均，将算术平均值作为竞标基准价；</w:t>
            </w:r>
          </w:p>
          <w:p>
            <w:pPr>
              <w:widowControl/>
              <w:jc w:val="left"/>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各最终有效投标报价与</w:t>
            </w:r>
            <w:r>
              <w:rPr>
                <w:rFonts w:hint="eastAsia" w:ascii="宋体" w:hAnsi="宋体" w:eastAsia="宋体" w:cs="宋体"/>
                <w:color w:val="auto"/>
                <w:sz w:val="21"/>
                <w:szCs w:val="21"/>
              </w:rPr>
              <w:t>竞标基准价</w:t>
            </w:r>
            <w:r>
              <w:rPr>
                <w:rFonts w:hint="eastAsia" w:ascii="宋体" w:hAnsi="宋体" w:eastAsia="宋体" w:cs="宋体"/>
                <w:color w:val="auto"/>
                <w:sz w:val="21"/>
                <w:szCs w:val="21"/>
                <w:lang w:val="zh-CN"/>
              </w:rPr>
              <w:t>进行比较，按以下公式求出百分比K值（保留小数点后一位，第二位四舍五入）：</w:t>
            </w:r>
          </w:p>
          <w:p>
            <w:pPr>
              <w:widowControl/>
              <w:jc w:val="left"/>
              <w:rPr>
                <w:rFonts w:ascii="宋体" w:hAnsi="宋体" w:cs="宋体"/>
                <w:color w:val="auto"/>
                <w:szCs w:val="21"/>
              </w:rPr>
            </w:pPr>
            <w:r>
              <w:rPr>
                <w:rFonts w:hint="eastAsia" w:ascii="宋体" w:hAnsi="宋体" w:cs="宋体"/>
                <w:color w:val="auto"/>
                <w:szCs w:val="21"/>
                <w:lang w:val="zh-CN"/>
              </w:rPr>
              <w:t>K=（投标报价—最佳报价）/最佳报价*100</w:t>
            </w:r>
            <w:r>
              <w:rPr>
                <w:rFonts w:hint="eastAsia" w:ascii="宋体" w:hAnsi="宋体" w:cs="宋体"/>
                <w:color w:val="auto"/>
                <w:szCs w:val="21"/>
              </w:rPr>
              <w:t>%</w:t>
            </w:r>
          </w:p>
          <w:p>
            <w:pPr>
              <w:widowControl/>
              <w:jc w:val="left"/>
              <w:rPr>
                <w:rFonts w:ascii="宋体" w:hAnsi="宋体" w:cs="宋体"/>
                <w:color w:val="auto"/>
                <w:szCs w:val="21"/>
                <w:lang w:val="zh-CN"/>
              </w:rPr>
            </w:pPr>
            <w:r>
              <w:rPr>
                <w:rFonts w:hint="eastAsia" w:ascii="宋体" w:hAnsi="宋体" w:cs="宋体"/>
                <w:color w:val="auto"/>
                <w:szCs w:val="21"/>
                <w:lang w:val="zh-CN"/>
              </w:rPr>
              <w:t>当K值等于零时，得满分</w:t>
            </w:r>
            <w:r>
              <w:rPr>
                <w:rFonts w:hint="eastAsia" w:ascii="宋体" w:hAnsi="宋体" w:cs="宋体"/>
                <w:color w:val="auto"/>
                <w:szCs w:val="21"/>
              </w:rPr>
              <w:t>80</w:t>
            </w:r>
            <w:r>
              <w:rPr>
                <w:rFonts w:hint="eastAsia" w:ascii="宋体" w:hAnsi="宋体" w:cs="宋体"/>
                <w:color w:val="auto"/>
                <w:szCs w:val="21"/>
                <w:lang w:val="zh-CN"/>
              </w:rPr>
              <w:t>分；</w:t>
            </w:r>
          </w:p>
          <w:p>
            <w:pPr>
              <w:widowControl/>
              <w:jc w:val="left"/>
              <w:rPr>
                <w:rFonts w:ascii="宋体" w:hAnsi="宋体" w:cs="宋体"/>
                <w:color w:val="auto"/>
                <w:szCs w:val="21"/>
                <w:lang w:val="zh-CN"/>
              </w:rPr>
            </w:pPr>
            <w:r>
              <w:rPr>
                <w:rFonts w:hint="eastAsia" w:ascii="宋体" w:hAnsi="宋体" w:cs="宋体"/>
                <w:color w:val="auto"/>
                <w:szCs w:val="21"/>
                <w:lang w:val="zh-CN"/>
              </w:rPr>
              <w:t>当K值大于零时，K值每增1%，在总分上扣1分；</w:t>
            </w:r>
          </w:p>
          <w:p>
            <w:pPr>
              <w:widowControl/>
              <w:jc w:val="left"/>
              <w:rPr>
                <w:rFonts w:ascii="宋体" w:hAnsi="宋体" w:cs="宋体"/>
                <w:color w:val="auto"/>
                <w:szCs w:val="21"/>
                <w:lang w:val="zh-CN"/>
              </w:rPr>
            </w:pPr>
            <w:r>
              <w:rPr>
                <w:rFonts w:hint="eastAsia" w:ascii="宋体" w:hAnsi="宋体" w:cs="宋体"/>
                <w:color w:val="auto"/>
                <w:szCs w:val="21"/>
                <w:lang w:val="zh-CN"/>
              </w:rPr>
              <w:t>当K值小于零时，K值每减1%，在总分上扣0.5分。</w:t>
            </w:r>
          </w:p>
          <w:p>
            <w:pPr>
              <w:widowControl/>
              <w:jc w:val="left"/>
              <w:rPr>
                <w:rFonts w:ascii="宋体" w:cs="宋体"/>
                <w:color w:val="auto"/>
                <w:kern w:val="0"/>
                <w:szCs w:val="21"/>
              </w:rPr>
            </w:pPr>
            <w:r>
              <w:rPr>
                <w:rFonts w:hint="eastAsia" w:ascii="宋体" w:hAnsi="宋体" w:cs="宋体"/>
                <w:color w:val="auto"/>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122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图纸</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深化图纸设计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深化方案内容的完整性、符合性、设计合理性，提供科学合理的各专业深化图纸，由评委酌情给分:</w:t>
            </w:r>
          </w:p>
          <w:p>
            <w:pPr>
              <w:widowControl/>
              <w:jc w:val="left"/>
              <w:rPr>
                <w:rFonts w:hint="eastAsia" w:ascii="宋体" w:hAnsi="宋体" w:cs="宋体"/>
                <w:color w:val="auto"/>
                <w:szCs w:val="21"/>
              </w:rPr>
            </w:pPr>
            <w:r>
              <w:rPr>
                <w:rFonts w:hint="eastAsia" w:ascii="宋体" w:hAnsi="宋体" w:cs="宋体"/>
                <w:color w:val="auto"/>
                <w:szCs w:val="21"/>
              </w:rPr>
              <w:t>1、提供合理优化的平面布局图，0-3分，</w:t>
            </w:r>
          </w:p>
          <w:p>
            <w:pPr>
              <w:widowControl/>
              <w:jc w:val="left"/>
              <w:rPr>
                <w:rFonts w:hint="eastAsia" w:ascii="宋体" w:hAnsi="宋体" w:cs="宋体"/>
                <w:color w:val="auto"/>
                <w:szCs w:val="21"/>
              </w:rPr>
            </w:pPr>
            <w:r>
              <w:rPr>
                <w:rFonts w:hint="eastAsia" w:ascii="宋体" w:hAnsi="宋体" w:cs="宋体"/>
                <w:color w:val="auto"/>
                <w:szCs w:val="21"/>
              </w:rPr>
              <w:t>2、提供合理优化的暖通系统图，0-1分。</w:t>
            </w:r>
          </w:p>
          <w:p>
            <w:pPr>
              <w:widowControl/>
              <w:jc w:val="left"/>
              <w:rPr>
                <w:rFonts w:hint="eastAsia" w:ascii="宋体" w:hAnsi="宋体" w:cs="宋体"/>
                <w:color w:val="auto"/>
                <w:szCs w:val="21"/>
              </w:rPr>
            </w:pPr>
            <w:r>
              <w:rPr>
                <w:rFonts w:hint="eastAsia" w:ascii="宋体" w:hAnsi="宋体" w:cs="宋体"/>
                <w:color w:val="auto"/>
                <w:szCs w:val="21"/>
              </w:rPr>
              <w:t>4、提供合理优化的电路布局及系统图，0-1分。</w:t>
            </w:r>
          </w:p>
          <w:p>
            <w:pPr>
              <w:widowControl/>
              <w:jc w:val="left"/>
              <w:rPr>
                <w:rFonts w:hint="eastAsia" w:ascii="宋体" w:hAnsi="宋体" w:cs="宋体"/>
                <w:color w:val="auto"/>
                <w:szCs w:val="21"/>
              </w:rPr>
            </w:pPr>
            <w:r>
              <w:rPr>
                <w:rFonts w:hint="eastAsia" w:ascii="宋体" w:hAnsi="宋体" w:cs="宋体"/>
                <w:color w:val="auto"/>
                <w:szCs w:val="21"/>
              </w:rPr>
              <w:t>以上方案不提供不得分。</w:t>
            </w:r>
          </w:p>
        </w:tc>
      </w:tr>
      <w:tr>
        <w:tblPrEx>
          <w:tblCellMar>
            <w:top w:w="0" w:type="dxa"/>
            <w:left w:w="108" w:type="dxa"/>
            <w:bottom w:w="0" w:type="dxa"/>
            <w:right w:w="108" w:type="dxa"/>
          </w:tblCellMar>
        </w:tblPrEx>
        <w:trPr>
          <w:trHeight w:val="122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设备</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szCs w:val="21"/>
              </w:rPr>
              <w:t>满足招标货物的性能及技术指标要求</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0-8</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cs="宋体"/>
                <w:color w:val="auto"/>
                <w:szCs w:val="21"/>
              </w:rPr>
              <w:t>响应招标文件要求的货物技术参数、技术规格、技术规范和技术要求的得基本分8分；参数低于招标文件要求（非实质性偏离）的技术参数、技术规格、技术规范和技术要求的每项扣1分，标记“★”的每项扣2分，扣完为止。</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bCs/>
                <w:color w:val="auto"/>
                <w:szCs w:val="21"/>
              </w:rPr>
              <w:t>业绩</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企业业绩</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0-2</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根据投标人签订合同时间为2019年1月1日至今同类业绩合同进行评定：每提供一个同类项目合同得1分，最多得2分。</w:t>
            </w:r>
          </w:p>
          <w:p>
            <w:pPr>
              <w:widowControl/>
              <w:jc w:val="left"/>
              <w:rPr>
                <w:rFonts w:hint="eastAsia" w:ascii="宋体" w:hAnsi="宋体" w:cs="宋体"/>
                <w:color w:val="auto"/>
                <w:szCs w:val="21"/>
              </w:rPr>
            </w:pPr>
            <w:r>
              <w:rPr>
                <w:rFonts w:hint="eastAsia" w:ascii="宋体" w:hAnsi="宋体" w:cs="宋体"/>
                <w:color w:val="auto"/>
                <w:szCs w:val="21"/>
              </w:rPr>
              <w:t>提供合同复印件加盖公章。</w:t>
            </w:r>
          </w:p>
        </w:tc>
      </w:tr>
      <w:tr>
        <w:tblPrEx>
          <w:tblCellMar>
            <w:top w:w="0" w:type="dxa"/>
            <w:left w:w="108" w:type="dxa"/>
            <w:bottom w:w="0" w:type="dxa"/>
            <w:right w:w="108" w:type="dxa"/>
          </w:tblCellMar>
        </w:tblPrEx>
        <w:trPr>
          <w:trHeight w:val="65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r>
              <w:rPr>
                <w:rFonts w:hint="eastAsia" w:ascii="宋体" w:hAnsi="宋体" w:cs="宋体"/>
                <w:bCs/>
                <w:color w:val="auto"/>
                <w:szCs w:val="21"/>
              </w:rPr>
              <w:t>方案</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总体施工组织布置及规划</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0-3</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cs="宋体"/>
                <w:color w:val="auto"/>
                <w:szCs w:val="21"/>
              </w:rPr>
              <w:t>视方案优劣打分，一般的得0-0.9分，较好的得1-2分，好的得2.1-3分。</w:t>
            </w:r>
          </w:p>
        </w:tc>
      </w:tr>
      <w:tr>
        <w:tblPrEx>
          <w:tblCellMar>
            <w:top w:w="0" w:type="dxa"/>
            <w:left w:w="108" w:type="dxa"/>
            <w:bottom w:w="0" w:type="dxa"/>
            <w:right w:w="108" w:type="dxa"/>
          </w:tblCellMar>
        </w:tblPrEx>
        <w:trPr>
          <w:trHeight w:val="568"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证书</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其他证书</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0-2</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cs="宋体"/>
                <w:color w:val="auto"/>
                <w:szCs w:val="21"/>
              </w:rPr>
              <w:t>投标人具有建筑装饰工程设计专项丙级及以上资质得两分，提供证书复印件加盖公章，</w:t>
            </w:r>
          </w:p>
        </w:tc>
      </w:tr>
    </w:tbl>
    <w:p>
      <w:pPr>
        <w:adjustRightInd w:val="0"/>
        <w:rPr>
          <w:rFonts w:ascii="宋体" w:hAnsi="宋体" w:cs="TimesNewRomanPSMT"/>
          <w:b/>
          <w:color w:val="auto"/>
          <w:kern w:val="0"/>
          <w:szCs w:val="21"/>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color w:val="auto"/>
          <w:kern w:val="0"/>
          <w:szCs w:val="21"/>
        </w:rPr>
      </w:pPr>
    </w:p>
    <w:p>
      <w:pPr>
        <w:keepNext w:val="0"/>
        <w:keepLines w:val="0"/>
        <w:pageBreakBefore w:val="0"/>
        <w:widowControl w:val="0"/>
        <w:kinsoku/>
        <w:overflowPunct/>
        <w:topLinePunct w:val="0"/>
        <w:autoSpaceDE w:val="0"/>
        <w:autoSpaceDN w:val="0"/>
        <w:bidi w:val="0"/>
        <w:adjustRightInd w:val="0"/>
        <w:spacing w:line="400" w:lineRule="exact"/>
        <w:jc w:val="center"/>
        <w:rPr>
          <w:rFonts w:ascii="宋体" w:hAnsi="宋体" w:cs="TimesNewRomanPSMT"/>
          <w:b/>
          <w:color w:val="auto"/>
          <w:kern w:val="0"/>
          <w:sz w:val="21"/>
          <w:szCs w:val="21"/>
        </w:rPr>
      </w:pPr>
      <w:r>
        <w:rPr>
          <w:rFonts w:hint="eastAsia" w:ascii="宋体" w:hAnsi="宋体" w:cs="TimesNewRomanPSMT"/>
          <w:b/>
          <w:color w:val="auto"/>
          <w:kern w:val="0"/>
          <w:sz w:val="21"/>
          <w:szCs w:val="21"/>
        </w:rPr>
        <w:t>第四章工程报价及付款</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
          <w:color w:val="auto"/>
          <w:kern w:val="0"/>
          <w:sz w:val="21"/>
          <w:szCs w:val="21"/>
        </w:rPr>
      </w:pPr>
      <w:r>
        <w:rPr>
          <w:rFonts w:ascii="宋体" w:hAnsi="宋体" w:cs="TimesNewRomanPSMT"/>
          <w:b/>
          <w:color w:val="auto"/>
          <w:kern w:val="0"/>
          <w:sz w:val="21"/>
          <w:szCs w:val="21"/>
        </w:rPr>
        <w:t xml:space="preserve">1. </w:t>
      </w:r>
      <w:r>
        <w:rPr>
          <w:rFonts w:hint="eastAsia" w:ascii="宋体" w:hAnsi="宋体" w:cs="TimesNewRomanPSMT"/>
          <w:b/>
          <w:color w:val="auto"/>
          <w:kern w:val="0"/>
          <w:sz w:val="21"/>
          <w:szCs w:val="21"/>
        </w:rPr>
        <w:t>工程报价说明</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 xml:space="preserve">1.1 </w:t>
      </w:r>
      <w:r>
        <w:rPr>
          <w:rFonts w:hint="eastAsia" w:ascii="宋体" w:hAnsi="宋体" w:cs="TimesNewRomanPSMT"/>
          <w:color w:val="auto"/>
          <w:kern w:val="0"/>
          <w:sz w:val="21"/>
          <w:szCs w:val="21"/>
        </w:rPr>
        <w:t>本工程报价是根据招标文件中包括的、有合同约束力的图纸以及相关国家标准、行业标准、合同条款中约定的规则编制。</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 xml:space="preserve">1.2 </w:t>
      </w:r>
      <w:r>
        <w:rPr>
          <w:rFonts w:hint="eastAsia" w:ascii="宋体" w:hAnsi="宋体" w:cs="TimesNewRomanPSMT"/>
          <w:color w:val="auto"/>
          <w:kern w:val="0"/>
          <w:sz w:val="21"/>
          <w:szCs w:val="21"/>
        </w:rPr>
        <w:t>本工程报价应与招标文件中的投标人须知、通用合同条款、专用合同条款、技术标准和要求及图纸等一起阅读和理解。</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 xml:space="preserve">1.3 </w:t>
      </w:r>
      <w:r>
        <w:rPr>
          <w:rFonts w:hint="eastAsia" w:ascii="宋体" w:hAnsi="宋体" w:cs="TimesNewRomanPSMT"/>
          <w:color w:val="auto"/>
          <w:kern w:val="0"/>
          <w:sz w:val="21"/>
          <w:szCs w:val="21"/>
        </w:rPr>
        <w:t>本工程报价和工程价款的支付应遵循合同条款的约定和第六章“技术标准和要求”的有关规定。</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
          <w:color w:val="auto"/>
          <w:kern w:val="0"/>
          <w:sz w:val="21"/>
          <w:szCs w:val="21"/>
        </w:rPr>
      </w:pPr>
      <w:r>
        <w:rPr>
          <w:rFonts w:ascii="宋体" w:hAnsi="宋体" w:cs="TimesNewRomanPSMT"/>
          <w:b/>
          <w:color w:val="auto"/>
          <w:kern w:val="0"/>
          <w:sz w:val="21"/>
          <w:szCs w:val="21"/>
        </w:rPr>
        <w:t xml:space="preserve">2. </w:t>
      </w:r>
      <w:r>
        <w:rPr>
          <w:rFonts w:hint="eastAsia" w:ascii="宋体" w:hAnsi="宋体" w:cs="TimesNewRomanPSMT"/>
          <w:b/>
          <w:color w:val="auto"/>
          <w:kern w:val="0"/>
          <w:sz w:val="21"/>
          <w:szCs w:val="21"/>
        </w:rPr>
        <w:t>投标报价说明</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2.1 根据本工程特点，结合自身的能力和管理水平，在充分考虑各种风险的基础上，自行</w:t>
      </w:r>
      <w:r>
        <w:rPr>
          <w:rFonts w:hint="eastAsia" w:ascii="宋体" w:hAnsi="宋体" w:cs="TimesNewRomanPSMT"/>
          <w:color w:val="auto"/>
          <w:kern w:val="0"/>
          <w:sz w:val="21"/>
          <w:szCs w:val="21"/>
        </w:rPr>
        <w:t>确定</w:t>
      </w:r>
      <w:r>
        <w:rPr>
          <w:rFonts w:ascii="宋体" w:hAnsi="宋体" w:cs="TimesNewRomanPSMT"/>
          <w:color w:val="auto"/>
          <w:kern w:val="0"/>
          <w:sz w:val="21"/>
          <w:szCs w:val="21"/>
        </w:rPr>
        <w:t>报价</w:t>
      </w:r>
      <w:r>
        <w:rPr>
          <w:rFonts w:hint="eastAsia" w:ascii="宋体" w:hAnsi="宋体" w:cs="TimesNewRomanPSMT"/>
          <w:color w:val="auto"/>
          <w:kern w:val="0"/>
          <w:sz w:val="21"/>
          <w:szCs w:val="21"/>
        </w:rPr>
        <w:t>。</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2.2</w:t>
      </w:r>
      <w:r>
        <w:rPr>
          <w:rFonts w:hint="eastAsia" w:ascii="宋体" w:hAnsi="宋体" w:cs="TimesNewRomanPSMT"/>
          <w:color w:val="auto"/>
          <w:kern w:val="0"/>
          <w:sz w:val="21"/>
          <w:szCs w:val="21"/>
        </w:rPr>
        <w:t xml:space="preserve"> </w:t>
      </w:r>
      <w:r>
        <w:rPr>
          <w:rFonts w:hint="eastAsia" w:ascii="宋体" w:hAnsi="宋体" w:cs="TimesNewRomanPSMT"/>
          <w:color w:val="auto"/>
          <w:sz w:val="21"/>
          <w:szCs w:val="21"/>
        </w:rPr>
        <w:t>计价方式：</w:t>
      </w:r>
      <w:r>
        <w:rPr>
          <w:rFonts w:hint="eastAsia" w:ascii="宋体" w:hAnsi="宋体" w:cs="TimesNewRomanPSMT"/>
          <w:b/>
          <w:bCs/>
          <w:color w:val="auto"/>
          <w:sz w:val="21"/>
          <w:szCs w:val="21"/>
          <w:u w:val="single"/>
        </w:rPr>
        <w:t>审计结算价*（1-</w:t>
      </w:r>
      <w:r>
        <w:rPr>
          <w:rFonts w:hint="eastAsia" w:ascii="宋体" w:hAnsi="宋体" w:cs="TimesNewRomanPSMT"/>
          <w:b/>
          <w:bCs/>
          <w:color w:val="auto"/>
          <w:sz w:val="21"/>
          <w:szCs w:val="21"/>
          <w:u w:val="single"/>
          <w:lang w:val="en-US" w:eastAsia="zh-CN"/>
        </w:rPr>
        <w:t>中标</w:t>
      </w:r>
      <w:r>
        <w:rPr>
          <w:rFonts w:hint="eastAsia" w:ascii="宋体" w:hAnsi="宋体" w:cs="TimesNewRomanPSMT"/>
          <w:b/>
          <w:bCs/>
          <w:color w:val="auto"/>
          <w:sz w:val="21"/>
          <w:szCs w:val="21"/>
          <w:u w:val="single"/>
        </w:rPr>
        <w:t>下浮率）</w:t>
      </w:r>
      <w:r>
        <w:rPr>
          <w:rFonts w:hint="eastAsia" w:ascii="宋体" w:hAnsi="宋体" w:cs="TimesNewRomanPSMT"/>
          <w:b/>
          <w:bCs/>
          <w:color w:val="auto"/>
          <w:sz w:val="21"/>
          <w:szCs w:val="21"/>
          <w:u w:val="single"/>
          <w:lang w:eastAsia="zh-CN"/>
        </w:rPr>
        <w:t>，</w:t>
      </w:r>
      <w:r>
        <w:rPr>
          <w:rFonts w:hint="eastAsia" w:ascii="宋体" w:hAnsi="宋体" w:cs="TimesNewRomanPSMT"/>
          <w:b w:val="0"/>
          <w:bCs w:val="0"/>
          <w:color w:val="auto"/>
          <w:sz w:val="21"/>
          <w:szCs w:val="21"/>
          <w:u w:val="none"/>
          <w:lang w:val="en-US" w:eastAsia="zh-CN"/>
        </w:rPr>
        <w:t>审计结算价</w:t>
      </w:r>
      <w:r>
        <w:rPr>
          <w:rFonts w:hint="eastAsia" w:ascii="宋体" w:hAnsi="宋体" w:cs="TimesNewRomanPSMT"/>
          <w:color w:val="auto"/>
          <w:sz w:val="21"/>
          <w:szCs w:val="21"/>
          <w:lang w:val="en-US" w:eastAsia="zh-CN"/>
        </w:rPr>
        <w:t>以业主确认及委托的第三方审计公司为准</w:t>
      </w:r>
      <w:r>
        <w:rPr>
          <w:rFonts w:ascii="宋体" w:hAnsi="宋体" w:cs="TimesNewRomanPSMT"/>
          <w:color w:val="auto"/>
          <w:kern w:val="0"/>
          <w:sz w:val="21"/>
          <w:szCs w:val="21"/>
        </w:rPr>
        <w:t>。</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2.3 </w:t>
      </w:r>
      <w:r>
        <w:rPr>
          <w:rFonts w:ascii="宋体" w:hAnsi="宋体" w:cs="TimesNewRomanPSMT"/>
          <w:color w:val="auto"/>
          <w:kern w:val="0"/>
          <w:sz w:val="21"/>
          <w:szCs w:val="21"/>
        </w:rPr>
        <w:t>报价依据为设计图纸、投标人自行取得的施工现场情况及</w:t>
      </w:r>
      <w:r>
        <w:rPr>
          <w:rFonts w:hint="eastAsia" w:ascii="宋体" w:hAnsi="宋体" w:cs="TimesNewRomanPSMT"/>
          <w:color w:val="auto"/>
          <w:kern w:val="0"/>
          <w:sz w:val="21"/>
          <w:szCs w:val="21"/>
        </w:rPr>
        <w:t>招标人</w:t>
      </w:r>
      <w:r>
        <w:rPr>
          <w:rFonts w:ascii="宋体" w:hAnsi="宋体" w:cs="TimesNewRomanPSMT"/>
          <w:color w:val="auto"/>
          <w:kern w:val="0"/>
          <w:sz w:val="21"/>
          <w:szCs w:val="21"/>
        </w:rPr>
        <w:t>对于质量、工期、安全、环保等各方面要求</w:t>
      </w:r>
      <w:r>
        <w:rPr>
          <w:rFonts w:hint="eastAsia" w:ascii="宋体" w:hAnsi="宋体" w:cs="TimesNewRomanPSMT"/>
          <w:color w:val="auto"/>
          <w:kern w:val="0"/>
          <w:sz w:val="21"/>
          <w:szCs w:val="21"/>
        </w:rPr>
        <w:t>。</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
          <w:bCs/>
          <w:color w:val="auto"/>
          <w:kern w:val="0"/>
          <w:sz w:val="21"/>
          <w:szCs w:val="21"/>
        </w:rPr>
      </w:pPr>
      <w:r>
        <w:rPr>
          <w:rFonts w:hint="eastAsia" w:ascii="宋体" w:hAnsi="宋体" w:cs="TimesNewRomanPSMT"/>
          <w:color w:val="auto"/>
          <w:kern w:val="0"/>
          <w:sz w:val="21"/>
          <w:szCs w:val="21"/>
        </w:rPr>
        <w:t>2.4 材料的供应：</w:t>
      </w:r>
      <w:r>
        <w:rPr>
          <w:rFonts w:hint="eastAsia" w:ascii="宋体" w:hAnsi="宋体" w:cs="TimesNewRomanPSMT"/>
          <w:b/>
          <w:bCs/>
          <w:color w:val="auto"/>
          <w:kern w:val="0"/>
          <w:sz w:val="21"/>
          <w:szCs w:val="21"/>
        </w:rPr>
        <w:t>本工程涉及到的</w:t>
      </w:r>
      <w:r>
        <w:rPr>
          <w:rFonts w:hint="eastAsia" w:ascii="宋体" w:hAnsi="宋体" w:cs="TimesNewRomanPSMT"/>
          <w:b/>
          <w:bCs/>
          <w:color w:val="auto"/>
          <w:kern w:val="0"/>
          <w:sz w:val="21"/>
          <w:szCs w:val="21"/>
          <w:u w:val="single"/>
          <w:lang w:val="en-US" w:eastAsia="zh-CN"/>
        </w:rPr>
        <w:t xml:space="preserve">  </w:t>
      </w:r>
      <w:r>
        <w:rPr>
          <w:rFonts w:hint="eastAsia" w:ascii="宋体" w:hAnsi="宋体" w:cs="TimesNewRomanPSMT"/>
          <w:b w:val="0"/>
          <w:bCs w:val="0"/>
          <w:color w:val="auto"/>
          <w:kern w:val="0"/>
          <w:sz w:val="21"/>
          <w:szCs w:val="21"/>
          <w:u w:val="single"/>
          <w:lang w:val="en-US" w:eastAsia="zh-CN"/>
        </w:rPr>
        <w:t>医疗专用设备类的手术床、无影灯、吊塔、吊桥和普通装修类的普通空调及普通卫生间（注1.检验科和抢救室内的普通空调 2.手术室内的普通卫生间装修）</w:t>
      </w:r>
      <w:r>
        <w:rPr>
          <w:rFonts w:hint="eastAsia" w:ascii="宋体" w:hAnsi="宋体" w:cs="TimesNewRomanPSMT"/>
          <w:b/>
          <w:bCs/>
          <w:color w:val="auto"/>
          <w:kern w:val="0"/>
          <w:sz w:val="21"/>
          <w:szCs w:val="21"/>
          <w:u w:val="single"/>
          <w:lang w:val="en-US" w:eastAsia="zh-CN"/>
        </w:rPr>
        <w:t xml:space="preserve"> </w:t>
      </w:r>
      <w:r>
        <w:rPr>
          <w:rFonts w:hint="eastAsia" w:ascii="宋体" w:hAnsi="宋体" w:cs="TimesNewRomanPSMT"/>
          <w:b/>
          <w:bCs/>
          <w:color w:val="auto"/>
          <w:kern w:val="0"/>
          <w:sz w:val="21"/>
          <w:szCs w:val="21"/>
        </w:rPr>
        <w:t>由招标单位提供，其余材料投标人自行负责采购。</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2.5 </w:t>
      </w:r>
      <w:r>
        <w:rPr>
          <w:rFonts w:ascii="宋体" w:hAnsi="宋体" w:cs="TimesNewRomanPSMT"/>
          <w:color w:val="auto"/>
          <w:kern w:val="0"/>
          <w:sz w:val="21"/>
          <w:szCs w:val="21"/>
        </w:rPr>
        <w:t>施工机具、周转材料供应</w:t>
      </w:r>
      <w:r>
        <w:rPr>
          <w:rFonts w:hint="eastAsia" w:ascii="宋体" w:hAnsi="宋体" w:cs="TimesNewRomanPSMT"/>
          <w:color w:val="auto"/>
          <w:kern w:val="0"/>
          <w:sz w:val="21"/>
          <w:szCs w:val="21"/>
        </w:rPr>
        <w:t>：由投标人自行提供。</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2.6 严重违约退场</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 w:val="21"/>
          <w:szCs w:val="21"/>
        </w:rPr>
        <w:t>合同</w:t>
      </w:r>
      <w:r>
        <w:rPr>
          <w:rFonts w:hint="eastAsia" w:ascii="宋体" w:hAnsi="宋体" w:cs="TimesNewRomanPSMT"/>
          <w:color w:val="auto"/>
          <w:kern w:val="0"/>
          <w:sz w:val="21"/>
          <w:szCs w:val="21"/>
        </w:rPr>
        <w:t>,招标人</w:t>
      </w:r>
      <w:r>
        <w:rPr>
          <w:rFonts w:ascii="宋体" w:hAnsi="宋体" w:cs="TimesNewRomanPSMT"/>
          <w:color w:val="auto"/>
          <w:kern w:val="0"/>
          <w:sz w:val="21"/>
          <w:szCs w:val="21"/>
        </w:rPr>
        <w:t>有权以书面形式，采用挂号邮件或有传递记录的方式通知</w:t>
      </w:r>
      <w:r>
        <w:rPr>
          <w:rFonts w:hint="eastAsia" w:ascii="宋体" w:hAnsi="宋体" w:cs="TimesNewRomanPSMT"/>
          <w:color w:val="auto"/>
          <w:kern w:val="0"/>
          <w:sz w:val="21"/>
          <w:szCs w:val="21"/>
        </w:rPr>
        <w:t>投标人解除</w:t>
      </w:r>
      <w:r>
        <w:rPr>
          <w:rFonts w:ascii="宋体" w:hAnsi="宋体" w:cs="TimesNewRomanPSMT"/>
          <w:color w:val="auto"/>
          <w:kern w:val="0"/>
          <w:sz w:val="21"/>
          <w:szCs w:val="21"/>
        </w:rPr>
        <w:t>本合同对</w:t>
      </w:r>
      <w:r>
        <w:rPr>
          <w:rFonts w:hint="eastAsia" w:ascii="宋体" w:hAnsi="宋体" w:cs="TimesNewRomanPSMT"/>
          <w:color w:val="auto"/>
          <w:kern w:val="0"/>
          <w:sz w:val="21"/>
          <w:szCs w:val="21"/>
        </w:rPr>
        <w:t>投标人</w:t>
      </w:r>
      <w:r>
        <w:rPr>
          <w:rFonts w:ascii="宋体" w:hAnsi="宋体" w:cs="TimesNewRomanPSMT"/>
          <w:color w:val="auto"/>
          <w:kern w:val="0"/>
          <w:sz w:val="21"/>
          <w:szCs w:val="21"/>
        </w:rPr>
        <w:t>的委托及任用：</w:t>
      </w:r>
    </w:p>
    <w:p>
      <w:pPr>
        <w:keepNext w:val="0"/>
        <w:keepLines w:val="0"/>
        <w:pageBreakBefore w:val="0"/>
        <w:widowControl w:val="0"/>
        <w:tabs>
          <w:tab w:val="left" w:pos="1050"/>
        </w:tabs>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1）</w:t>
      </w:r>
      <w:r>
        <w:rPr>
          <w:rFonts w:ascii="宋体" w:hAnsi="宋体" w:cs="TimesNewRomanPSMT"/>
          <w:color w:val="auto"/>
          <w:kern w:val="0"/>
          <w:sz w:val="21"/>
          <w:szCs w:val="21"/>
        </w:rPr>
        <w:t>在本工程完成前，</w:t>
      </w:r>
      <w:r>
        <w:rPr>
          <w:rFonts w:hint="eastAsia" w:ascii="宋体" w:hAnsi="宋体" w:cs="TimesNewRomanPSMT"/>
          <w:color w:val="auto"/>
          <w:kern w:val="0"/>
          <w:sz w:val="21"/>
          <w:szCs w:val="21"/>
        </w:rPr>
        <w:t>投标人</w:t>
      </w:r>
      <w:r>
        <w:rPr>
          <w:rFonts w:ascii="宋体" w:hAnsi="宋体" w:cs="TimesNewRomanPSMT"/>
          <w:color w:val="auto"/>
          <w:kern w:val="0"/>
          <w:sz w:val="21"/>
          <w:szCs w:val="21"/>
        </w:rPr>
        <w:t>无理停工；</w:t>
      </w:r>
    </w:p>
    <w:p>
      <w:pPr>
        <w:keepNext w:val="0"/>
        <w:keepLines w:val="0"/>
        <w:pageBreakBefore w:val="0"/>
        <w:widowControl w:val="0"/>
        <w:tabs>
          <w:tab w:val="left" w:pos="1050"/>
        </w:tabs>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2）投标人</w:t>
      </w:r>
      <w:r>
        <w:rPr>
          <w:rFonts w:ascii="宋体" w:hAnsi="宋体" w:cs="TimesNewRomanPSMT"/>
          <w:color w:val="auto"/>
          <w:kern w:val="0"/>
          <w:sz w:val="21"/>
          <w:szCs w:val="21"/>
        </w:rPr>
        <w:t>未能有序地进行本工程；</w:t>
      </w:r>
    </w:p>
    <w:p>
      <w:pPr>
        <w:keepNext w:val="0"/>
        <w:keepLines w:val="0"/>
        <w:pageBreakBefore w:val="0"/>
        <w:widowControl w:val="0"/>
        <w:tabs>
          <w:tab w:val="left" w:pos="1050"/>
        </w:tabs>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3）</w:t>
      </w:r>
      <w:r>
        <w:rPr>
          <w:rFonts w:ascii="宋体" w:hAnsi="宋体" w:cs="TimesNewRomanPSMT"/>
          <w:color w:val="auto"/>
          <w:kern w:val="0"/>
          <w:sz w:val="21"/>
          <w:szCs w:val="21"/>
        </w:rPr>
        <w:t>工程严重</w:t>
      </w:r>
      <w:r>
        <w:rPr>
          <w:rFonts w:hint="eastAsia" w:ascii="宋体" w:hAnsi="宋体" w:cs="TimesNewRomanPSMT"/>
          <w:color w:val="auto"/>
          <w:kern w:val="0"/>
          <w:sz w:val="21"/>
          <w:szCs w:val="21"/>
        </w:rPr>
        <w:t>拖</w:t>
      </w:r>
      <w:r>
        <w:rPr>
          <w:rFonts w:ascii="宋体" w:hAnsi="宋体" w:cs="TimesNewRomanPSMT"/>
          <w:color w:val="auto"/>
          <w:kern w:val="0"/>
          <w:sz w:val="21"/>
          <w:szCs w:val="21"/>
        </w:rPr>
        <w:t>期并/或影响其它投标人的工程及</w:t>
      </w:r>
      <w:r>
        <w:rPr>
          <w:rFonts w:hint="eastAsia" w:ascii="宋体" w:hAnsi="宋体" w:cs="TimesNewRomanPSMT"/>
          <w:color w:val="auto"/>
          <w:kern w:val="0"/>
          <w:sz w:val="21"/>
          <w:szCs w:val="21"/>
        </w:rPr>
        <w:t>承包人</w:t>
      </w:r>
      <w:r>
        <w:rPr>
          <w:rFonts w:ascii="宋体" w:hAnsi="宋体" w:cs="TimesNewRomanPSMT"/>
          <w:color w:val="auto"/>
          <w:kern w:val="0"/>
          <w:sz w:val="21"/>
          <w:szCs w:val="21"/>
        </w:rPr>
        <w:t>的计划进度；</w:t>
      </w:r>
    </w:p>
    <w:p>
      <w:pPr>
        <w:keepNext w:val="0"/>
        <w:keepLines w:val="0"/>
        <w:pageBreakBefore w:val="0"/>
        <w:widowControl w:val="0"/>
        <w:tabs>
          <w:tab w:val="left" w:pos="1050"/>
        </w:tabs>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4）投标人</w:t>
      </w:r>
      <w:r>
        <w:rPr>
          <w:rFonts w:ascii="宋体" w:hAnsi="宋体" w:cs="TimesNewRomanPSMT"/>
          <w:color w:val="auto"/>
          <w:kern w:val="0"/>
          <w:sz w:val="21"/>
          <w:szCs w:val="21"/>
        </w:rPr>
        <w:t>拒绝遵循或忽视监理单位及</w:t>
      </w:r>
      <w:r>
        <w:rPr>
          <w:rFonts w:hint="eastAsia" w:ascii="宋体" w:hAnsi="宋体" w:cs="TimesNewRomanPSMT"/>
          <w:color w:val="auto"/>
          <w:kern w:val="0"/>
          <w:sz w:val="21"/>
          <w:szCs w:val="21"/>
        </w:rPr>
        <w:t>招标人</w:t>
      </w:r>
      <w:r>
        <w:rPr>
          <w:rFonts w:ascii="宋体" w:hAnsi="宋体" w:cs="TimesNewRomanPSMT"/>
          <w:color w:val="auto"/>
          <w:kern w:val="0"/>
          <w:sz w:val="21"/>
          <w:szCs w:val="21"/>
        </w:rPr>
        <w:t>有关拆除不符合合同及规范规定的工程或材料的书面通知，并使工程受到相当程度的影响。</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2.6.2 </w:t>
      </w:r>
      <w:r>
        <w:rPr>
          <w:rFonts w:ascii="宋体" w:hAnsi="宋体" w:cs="TimesNewRomanPSMT"/>
          <w:color w:val="auto"/>
          <w:kern w:val="0"/>
          <w:sz w:val="21"/>
          <w:szCs w:val="21"/>
        </w:rPr>
        <w:t>当</w:t>
      </w:r>
      <w:r>
        <w:rPr>
          <w:rFonts w:hint="eastAsia" w:ascii="宋体" w:hAnsi="宋体" w:cs="TimesNewRomanPSMT"/>
          <w:color w:val="auto"/>
          <w:kern w:val="0"/>
          <w:sz w:val="21"/>
          <w:szCs w:val="21"/>
        </w:rPr>
        <w:t>投标人</w:t>
      </w:r>
      <w:r>
        <w:rPr>
          <w:rFonts w:ascii="宋体" w:hAnsi="宋体" w:cs="TimesNewRomanPSMT"/>
          <w:color w:val="auto"/>
          <w:kern w:val="0"/>
          <w:sz w:val="21"/>
          <w:szCs w:val="21"/>
        </w:rPr>
        <w:t>因上述原因被</w:t>
      </w:r>
      <w:r>
        <w:rPr>
          <w:rFonts w:hint="eastAsia" w:ascii="宋体" w:hAnsi="宋体" w:cs="TimesNewRomanPSMT"/>
          <w:color w:val="auto"/>
          <w:kern w:val="0"/>
          <w:sz w:val="21"/>
          <w:szCs w:val="21"/>
        </w:rPr>
        <w:t>解除</w:t>
      </w:r>
      <w:r>
        <w:rPr>
          <w:rFonts w:ascii="宋体" w:hAnsi="宋体" w:cs="TimesNewRomanPSMT"/>
          <w:color w:val="auto"/>
          <w:kern w:val="0"/>
          <w:sz w:val="21"/>
          <w:szCs w:val="21"/>
        </w:rPr>
        <w:t>合同对其的委托时，</w:t>
      </w:r>
      <w:r>
        <w:rPr>
          <w:rFonts w:hint="eastAsia" w:ascii="宋体" w:hAnsi="宋体" w:cs="TimesNewRomanPSMT"/>
          <w:color w:val="auto"/>
          <w:kern w:val="0"/>
          <w:sz w:val="21"/>
          <w:szCs w:val="21"/>
        </w:rPr>
        <w:t>招标人</w:t>
      </w:r>
      <w:r>
        <w:rPr>
          <w:rFonts w:ascii="宋体" w:hAnsi="宋体" w:cs="TimesNewRomanPSMT"/>
          <w:color w:val="auto"/>
          <w:kern w:val="0"/>
          <w:sz w:val="21"/>
          <w:szCs w:val="21"/>
        </w:rPr>
        <w:t>只须向</w:t>
      </w:r>
      <w:r>
        <w:rPr>
          <w:rFonts w:hint="eastAsia" w:ascii="宋体" w:hAnsi="宋体" w:cs="TimesNewRomanPSMT"/>
          <w:color w:val="auto"/>
          <w:kern w:val="0"/>
          <w:sz w:val="21"/>
          <w:szCs w:val="21"/>
        </w:rPr>
        <w:t>投标人</w:t>
      </w:r>
      <w:r>
        <w:rPr>
          <w:rFonts w:ascii="宋体" w:hAnsi="宋体" w:cs="TimesNewRomanPSMT"/>
          <w:color w:val="auto"/>
          <w:kern w:val="0"/>
          <w:sz w:val="21"/>
          <w:szCs w:val="21"/>
        </w:rPr>
        <w:t>支付</w:t>
      </w:r>
      <w:r>
        <w:rPr>
          <w:rFonts w:hint="eastAsia" w:ascii="宋体" w:hAnsi="宋体" w:cs="TimesNewRomanPSMT"/>
          <w:color w:val="auto"/>
          <w:kern w:val="0"/>
          <w:sz w:val="21"/>
          <w:szCs w:val="21"/>
        </w:rPr>
        <w:t>其</w:t>
      </w:r>
      <w:r>
        <w:rPr>
          <w:rFonts w:ascii="宋体" w:hAnsi="宋体" w:cs="TimesNewRomanPSMT"/>
          <w:color w:val="auto"/>
          <w:kern w:val="0"/>
          <w:sz w:val="21"/>
          <w:szCs w:val="21"/>
        </w:rPr>
        <w:t>实际完成的工作量的价值</w:t>
      </w:r>
      <w:r>
        <w:rPr>
          <w:rFonts w:hint="eastAsia" w:ascii="宋体" w:hAnsi="宋体" w:cs="TimesNewRomanPSMT"/>
          <w:color w:val="auto"/>
          <w:kern w:val="0"/>
          <w:sz w:val="21"/>
          <w:szCs w:val="21"/>
        </w:rPr>
        <w:t>，其余投标人自行承担</w:t>
      </w:r>
      <w:r>
        <w:rPr>
          <w:rFonts w:ascii="宋体" w:hAnsi="宋体" w:cs="TimesNewRomanPSMT"/>
          <w:color w:val="auto"/>
          <w:kern w:val="0"/>
          <w:sz w:val="21"/>
          <w:szCs w:val="21"/>
        </w:rPr>
        <w:t>。</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2.7 </w:t>
      </w:r>
      <w:r>
        <w:rPr>
          <w:rFonts w:ascii="宋体" w:hAnsi="宋体" w:cs="TimesNewRomanPSMT"/>
          <w:color w:val="auto"/>
          <w:kern w:val="0"/>
          <w:sz w:val="21"/>
          <w:szCs w:val="21"/>
        </w:rPr>
        <w:t>工程款：</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2.7.1</w:t>
      </w:r>
      <w:r>
        <w:rPr>
          <w:rFonts w:ascii="宋体" w:hAnsi="宋体" w:cs="TimesNewRomanPSMT"/>
          <w:color w:val="auto"/>
          <w:kern w:val="0"/>
          <w:sz w:val="21"/>
          <w:szCs w:val="21"/>
        </w:rPr>
        <w:t>本工程预付款</w:t>
      </w:r>
      <w:r>
        <w:rPr>
          <w:rFonts w:hint="eastAsia" w:ascii="宋体" w:hAnsi="宋体" w:cs="TimesNewRomanPSMT"/>
          <w:color w:val="auto"/>
          <w:kern w:val="0"/>
          <w:sz w:val="21"/>
          <w:szCs w:val="21"/>
        </w:rPr>
        <w:t>：无。</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投标人应于每月2</w:t>
      </w:r>
      <w:r>
        <w:rPr>
          <w:rFonts w:hint="eastAsia" w:ascii="宋体" w:hAnsi="宋体" w:cs="TimesNewRomanPSMT"/>
          <w:color w:val="auto"/>
          <w:kern w:val="0"/>
          <w:sz w:val="21"/>
          <w:szCs w:val="21"/>
        </w:rPr>
        <w:t>0</w:t>
      </w:r>
      <w:r>
        <w:rPr>
          <w:rFonts w:ascii="宋体" w:hAnsi="宋体" w:cs="TimesNewRomanPSMT"/>
          <w:color w:val="auto"/>
          <w:kern w:val="0"/>
          <w:sz w:val="21"/>
          <w:szCs w:val="21"/>
        </w:rPr>
        <w:t>日前把完整且符合条件的工程、物资、安全、质量部门已确认</w:t>
      </w:r>
      <w:r>
        <w:rPr>
          <w:rFonts w:hint="eastAsia" w:ascii="宋体" w:hAnsi="宋体" w:cs="TimesNewRomanPSMT"/>
          <w:color w:val="auto"/>
          <w:kern w:val="0"/>
          <w:sz w:val="21"/>
          <w:szCs w:val="21"/>
        </w:rPr>
        <w:t>的</w:t>
      </w:r>
      <w:r>
        <w:rPr>
          <w:rFonts w:ascii="宋体" w:hAnsi="宋体" w:cs="TimesNewRomanPSMT"/>
          <w:color w:val="auto"/>
          <w:kern w:val="0"/>
          <w:sz w:val="21"/>
          <w:szCs w:val="21"/>
        </w:rPr>
        <w:t>全部工作完成的月进度</w:t>
      </w:r>
      <w:r>
        <w:rPr>
          <w:rFonts w:hint="eastAsia" w:ascii="宋体" w:hAnsi="宋体" w:cs="TimesNewRomanPSMT"/>
          <w:color w:val="auto"/>
          <w:kern w:val="0"/>
          <w:sz w:val="21"/>
          <w:szCs w:val="21"/>
        </w:rPr>
        <w:t>报表</w:t>
      </w:r>
      <w:r>
        <w:rPr>
          <w:rFonts w:ascii="宋体" w:hAnsi="宋体" w:cs="TimesNewRomanPSMT"/>
          <w:color w:val="auto"/>
          <w:kern w:val="0"/>
          <w:sz w:val="21"/>
          <w:szCs w:val="21"/>
        </w:rPr>
        <w:t>交到</w:t>
      </w:r>
      <w:r>
        <w:rPr>
          <w:rFonts w:hint="eastAsia" w:ascii="宋体" w:hAnsi="宋体" w:cs="TimesNewRomanPSMT"/>
          <w:color w:val="auto"/>
          <w:kern w:val="0"/>
          <w:sz w:val="21"/>
          <w:szCs w:val="21"/>
        </w:rPr>
        <w:t>招标人</w:t>
      </w:r>
      <w:r>
        <w:rPr>
          <w:rFonts w:ascii="宋体" w:hAnsi="宋体" w:cs="TimesNewRomanPSMT"/>
          <w:color w:val="auto"/>
          <w:kern w:val="0"/>
          <w:sz w:val="21"/>
          <w:szCs w:val="21"/>
        </w:rPr>
        <w:t>项目经营部</w:t>
      </w:r>
      <w:r>
        <w:rPr>
          <w:rFonts w:hint="eastAsia" w:ascii="宋体" w:hAnsi="宋体" w:cs="TimesNewRomanPSMT"/>
          <w:color w:val="auto"/>
          <w:kern w:val="0"/>
          <w:sz w:val="21"/>
          <w:szCs w:val="21"/>
        </w:rPr>
        <w:t>审核</w:t>
      </w:r>
      <w:r>
        <w:rPr>
          <w:rFonts w:ascii="宋体" w:hAnsi="宋体" w:cs="TimesNewRomanPSMT"/>
          <w:color w:val="auto"/>
          <w:kern w:val="0"/>
          <w:sz w:val="21"/>
          <w:szCs w:val="21"/>
        </w:rPr>
        <w:t>，</w:t>
      </w:r>
      <w:r>
        <w:rPr>
          <w:rFonts w:hint="eastAsia" w:ascii="宋体" w:hAnsi="宋体" w:cs="TimesNewRomanPSMT"/>
          <w:color w:val="auto"/>
          <w:kern w:val="0"/>
          <w:sz w:val="21"/>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 w:val="21"/>
          <w:szCs w:val="21"/>
        </w:rPr>
        <w:t>如超过规定时间（每月2</w:t>
      </w:r>
      <w:r>
        <w:rPr>
          <w:rFonts w:hint="eastAsia" w:ascii="宋体" w:hAnsi="宋体" w:cs="TimesNewRomanPSMT"/>
          <w:color w:val="auto"/>
          <w:kern w:val="0"/>
          <w:sz w:val="21"/>
          <w:szCs w:val="21"/>
        </w:rPr>
        <w:t>0</w:t>
      </w:r>
      <w:r>
        <w:rPr>
          <w:rFonts w:ascii="宋体" w:hAnsi="宋体" w:cs="TimesNewRomanPSMT"/>
          <w:color w:val="auto"/>
          <w:kern w:val="0"/>
          <w:sz w:val="21"/>
          <w:szCs w:val="21"/>
        </w:rPr>
        <w:t>日）后上报月进度</w:t>
      </w:r>
      <w:r>
        <w:rPr>
          <w:rFonts w:hint="eastAsia" w:ascii="宋体" w:hAnsi="宋体" w:cs="TimesNewRomanPSMT"/>
          <w:color w:val="auto"/>
          <w:kern w:val="0"/>
          <w:sz w:val="21"/>
          <w:szCs w:val="21"/>
        </w:rPr>
        <w:t>报表</w:t>
      </w:r>
      <w:r>
        <w:rPr>
          <w:rFonts w:ascii="宋体" w:hAnsi="宋体" w:cs="TimesNewRomanPSMT"/>
          <w:color w:val="auto"/>
          <w:kern w:val="0"/>
          <w:sz w:val="21"/>
          <w:szCs w:val="21"/>
        </w:rPr>
        <w:t>，</w:t>
      </w:r>
      <w:r>
        <w:rPr>
          <w:rFonts w:hint="eastAsia" w:ascii="宋体" w:hAnsi="宋体" w:cs="TimesNewRomanPSMT"/>
          <w:color w:val="auto"/>
          <w:kern w:val="0"/>
          <w:sz w:val="21"/>
          <w:szCs w:val="21"/>
        </w:rPr>
        <w:t>招标人</w:t>
      </w:r>
      <w:r>
        <w:rPr>
          <w:rFonts w:ascii="宋体" w:hAnsi="宋体" w:cs="TimesNewRomanPSMT"/>
          <w:color w:val="auto"/>
          <w:kern w:val="0"/>
          <w:sz w:val="21"/>
          <w:szCs w:val="21"/>
        </w:rPr>
        <w:t>项目部经营部门将在次月受理。</w:t>
      </w:r>
    </w:p>
    <w:p>
      <w:pPr>
        <w:keepNext w:val="0"/>
        <w:keepLines w:val="0"/>
        <w:pageBreakBefore w:val="0"/>
        <w:widowControl w:val="0"/>
        <w:kinsoku/>
        <w:wordWrap w:val="0"/>
        <w:overflowPunct/>
        <w:topLinePunct w:val="0"/>
        <w:bidi w:val="0"/>
        <w:adjustRightInd w:val="0"/>
        <w:snapToGrid w:val="0"/>
        <w:spacing w:line="400" w:lineRule="exact"/>
        <w:jc w:val="left"/>
        <w:rPr>
          <w:rFonts w:ascii="宋体" w:hAnsi="宋体" w:cs="TimesNewRomanPSMT"/>
          <w:b/>
          <w:bCs/>
          <w:color w:val="auto"/>
          <w:kern w:val="0"/>
          <w:sz w:val="21"/>
          <w:szCs w:val="21"/>
        </w:rPr>
      </w:pPr>
      <w:r>
        <w:rPr>
          <w:rFonts w:hint="eastAsia" w:ascii="宋体" w:hAnsi="宋体" w:cs="TimesNewRomanPSMT"/>
          <w:b/>
          <w:bCs/>
          <w:color w:val="auto"/>
          <w:kern w:val="0"/>
          <w:sz w:val="21"/>
          <w:szCs w:val="21"/>
        </w:rPr>
        <w:t>2.7.2进度款支付比例：</w:t>
      </w:r>
    </w:p>
    <w:p>
      <w:pPr>
        <w:keepNext w:val="0"/>
        <w:keepLines w:val="0"/>
        <w:pageBreakBefore w:val="0"/>
        <w:widowControl w:val="0"/>
        <w:kinsoku/>
        <w:overflowPunct/>
        <w:topLinePunct w:val="0"/>
        <w:bidi w:val="0"/>
        <w:spacing w:line="400" w:lineRule="exact"/>
        <w:rPr>
          <w:b w:val="0"/>
          <w:bCs/>
          <w:color w:val="auto"/>
          <w:sz w:val="21"/>
          <w:szCs w:val="21"/>
        </w:rPr>
      </w:pPr>
      <w:r>
        <w:rPr>
          <w:rFonts w:hint="eastAsia" w:ascii="宋体" w:hAnsi="宋体" w:cs="宋体"/>
          <w:b w:val="0"/>
          <w:bCs/>
          <w:color w:val="auto"/>
          <w:sz w:val="21"/>
          <w:szCs w:val="21"/>
        </w:rPr>
        <w:t>费用支付方式：付款方式为工程开工前支付合同价的30%</w:t>
      </w:r>
      <w:r>
        <w:rPr>
          <w:rFonts w:hint="eastAsia" w:ascii="宋体" w:hAnsi="宋体" w:cs="宋体"/>
          <w:b w:val="0"/>
          <w:bCs/>
          <w:color w:val="auto"/>
          <w:sz w:val="21"/>
          <w:szCs w:val="21"/>
          <w:lang w:val="en-US" w:eastAsia="zh-CN"/>
        </w:rPr>
        <w:t>为</w:t>
      </w:r>
      <w:r>
        <w:rPr>
          <w:rFonts w:hint="eastAsia" w:ascii="宋体" w:hAnsi="宋体" w:cs="宋体"/>
          <w:b w:val="0"/>
          <w:bCs/>
          <w:color w:val="auto"/>
          <w:sz w:val="21"/>
          <w:szCs w:val="21"/>
        </w:rPr>
        <w:t>预付款，工程完工凭竣工验收证书、项目移交证书及完成送审结算资料后支付至实际完成工程量</w:t>
      </w:r>
      <w:r>
        <w:rPr>
          <w:rFonts w:hint="eastAsia" w:ascii="宋体" w:hAnsi="宋体" w:cs="宋体"/>
          <w:b w:val="0"/>
          <w:bCs/>
          <w:color w:val="auto"/>
          <w:sz w:val="21"/>
          <w:szCs w:val="21"/>
          <w:lang w:val="en-US" w:eastAsia="zh-CN"/>
        </w:rPr>
        <w:t>的</w:t>
      </w:r>
      <w:r>
        <w:rPr>
          <w:rFonts w:hint="eastAsia" w:ascii="宋体" w:hAnsi="宋体" w:cs="宋体"/>
          <w:b w:val="0"/>
          <w:bCs/>
          <w:color w:val="auto"/>
          <w:sz w:val="21"/>
          <w:szCs w:val="21"/>
        </w:rPr>
        <w:t>70%，审计完成支付至审计价下浮后价格的95%，尾款质保一年期满后付清</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无息</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rPr>
        <w:t>。</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2.7.3工程结算款：</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在本工程竣工验收后（现场临时设施撤离、清场完成、交付符合政府相关部门和招标人要求的竣工资料，配合招标人竣工验收等），投标人在竣工验收合格后28天内完成并提交工程结算至招标人，否则招标人有权代为结算审计，中标人对审计结果完全认可并接受，由此对可能造成中标人经济损失的一切责任与风险由中标人自行承担，招标人应在2个月内完成结算的审核工作。</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2.8 关于措施费（开办费）：</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2.8.1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2.8.2 措施费（开办费）包括（但不限于）以下内容组成：</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通用项目：</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b) 因安全文明施工措施、二次搬运、施工排水、降水、生产工具用具使用、工程定位、点交、场地清理等产生的措施费用。</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c)因季节性施工（包括冬季、夏季和雨季）为保证施工进度和工程质量而发生的各种措施费用。</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d)中标单位为按时履约而需进行夜间施工、加班加点或其他赶工措施而发生的施工费用。</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e)因临时停水、停电（包括因市政原因），中标单位为保证本工程的正常进行而采取的施工措施而发生的措施费。</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f)施工机械进出场及安拆措施费。</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g)临时设施费，包括中标单位人员的办公、住宿和搭接水电等所发生的费用。</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e)施工前不可预见性因素引起的费用，包括阻碍交通费、以及行人通行的交通维护措施费用等。</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
          <w:color w:val="auto"/>
          <w:kern w:val="0"/>
          <w:sz w:val="21"/>
          <w:szCs w:val="21"/>
        </w:rPr>
      </w:pPr>
      <w:r>
        <w:rPr>
          <w:rFonts w:ascii="宋体" w:hAnsi="宋体" w:cs="TimesNewRomanPSMT"/>
          <w:b/>
          <w:color w:val="auto"/>
          <w:kern w:val="0"/>
          <w:sz w:val="21"/>
          <w:szCs w:val="21"/>
        </w:rPr>
        <w:t xml:space="preserve">3. </w:t>
      </w:r>
      <w:r>
        <w:rPr>
          <w:rFonts w:hint="eastAsia" w:ascii="宋体" w:hAnsi="宋体" w:cs="TimesNewRomanPSMT"/>
          <w:b/>
          <w:color w:val="auto"/>
          <w:kern w:val="0"/>
          <w:sz w:val="21"/>
          <w:szCs w:val="21"/>
        </w:rPr>
        <w:t>其他说明</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3.1 </w:t>
      </w:r>
      <w:r>
        <w:rPr>
          <w:rFonts w:ascii="宋体" w:hAnsi="宋体" w:cs="TimesNewRomanPSMT"/>
          <w:color w:val="auto"/>
          <w:kern w:val="0"/>
          <w:sz w:val="21"/>
          <w:szCs w:val="21"/>
        </w:rPr>
        <w:t>本招标文件所述如与设计图纸要求有差异，以设计图纸要求为准；</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3.2 业主和招标人</w:t>
      </w:r>
      <w:r>
        <w:rPr>
          <w:rFonts w:ascii="宋体" w:hAnsi="宋体" w:cs="TimesNewRomanPSMT"/>
          <w:color w:val="auto"/>
          <w:kern w:val="0"/>
          <w:sz w:val="21"/>
          <w:szCs w:val="21"/>
        </w:rPr>
        <w:t>的各项规章制度</w:t>
      </w:r>
      <w:r>
        <w:rPr>
          <w:rFonts w:hint="eastAsia" w:ascii="宋体" w:hAnsi="宋体" w:cs="TimesNewRomanPSMT"/>
          <w:color w:val="auto"/>
          <w:kern w:val="0"/>
          <w:sz w:val="21"/>
          <w:szCs w:val="21"/>
        </w:rPr>
        <w:t>由</w:t>
      </w:r>
      <w:r>
        <w:rPr>
          <w:rFonts w:ascii="宋体" w:hAnsi="宋体" w:cs="TimesNewRomanPSMT"/>
          <w:color w:val="auto"/>
          <w:kern w:val="0"/>
          <w:sz w:val="21"/>
          <w:szCs w:val="21"/>
        </w:rPr>
        <w:t>招标</w:t>
      </w:r>
      <w:r>
        <w:rPr>
          <w:rFonts w:hint="eastAsia" w:ascii="宋体" w:hAnsi="宋体" w:cs="TimesNewRomanPSMT"/>
          <w:color w:val="auto"/>
          <w:kern w:val="0"/>
          <w:sz w:val="21"/>
          <w:szCs w:val="21"/>
        </w:rPr>
        <w:t>人</w:t>
      </w:r>
      <w:r>
        <w:rPr>
          <w:rFonts w:ascii="宋体" w:hAnsi="宋体" w:cs="TimesNewRomanPSMT"/>
          <w:color w:val="auto"/>
          <w:kern w:val="0"/>
          <w:sz w:val="21"/>
          <w:szCs w:val="21"/>
        </w:rPr>
        <w:t>提供，国家、地方政府的相关法律、法规、制度等已由政府公开发布，本招标文件不再重复；</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3.3 </w:t>
      </w:r>
      <w:r>
        <w:rPr>
          <w:rFonts w:ascii="宋体" w:hAnsi="宋体" w:cs="TimesNewRomanPSMT"/>
          <w:color w:val="auto"/>
          <w:kern w:val="0"/>
          <w:sz w:val="21"/>
          <w:szCs w:val="21"/>
        </w:rPr>
        <w:t>投标</w:t>
      </w:r>
      <w:r>
        <w:rPr>
          <w:rFonts w:hint="eastAsia" w:ascii="宋体" w:hAnsi="宋体" w:cs="TimesNewRomanPSMT"/>
          <w:color w:val="auto"/>
          <w:kern w:val="0"/>
          <w:sz w:val="21"/>
          <w:szCs w:val="21"/>
        </w:rPr>
        <w:t>人</w:t>
      </w:r>
      <w:r>
        <w:rPr>
          <w:rFonts w:ascii="宋体" w:hAnsi="宋体" w:cs="TimesNewRomanPSMT"/>
          <w:color w:val="auto"/>
          <w:kern w:val="0"/>
          <w:sz w:val="21"/>
          <w:szCs w:val="21"/>
        </w:rPr>
        <w:t>应承担其编制投标文件与递交投标文件所涉及的一切费用。不论投标结果如何，</w:t>
      </w:r>
      <w:r>
        <w:rPr>
          <w:rFonts w:hint="eastAsia" w:ascii="宋体" w:hAnsi="宋体" w:cs="TimesNewRomanPSMT"/>
          <w:color w:val="auto"/>
          <w:kern w:val="0"/>
          <w:sz w:val="21"/>
          <w:szCs w:val="21"/>
        </w:rPr>
        <w:t>招标</w:t>
      </w:r>
      <w:r>
        <w:rPr>
          <w:rFonts w:ascii="宋体" w:hAnsi="宋体" w:cs="TimesNewRomanPSMT"/>
          <w:color w:val="auto"/>
          <w:kern w:val="0"/>
          <w:sz w:val="21"/>
          <w:szCs w:val="21"/>
        </w:rPr>
        <w:t>人对上述费用不承担任何责任</w:t>
      </w:r>
      <w:r>
        <w:rPr>
          <w:rFonts w:hint="eastAsia" w:ascii="宋体" w:hAnsi="宋体" w:cs="TimesNewRomanPSMT"/>
          <w:color w:val="auto"/>
          <w:kern w:val="0"/>
          <w:sz w:val="21"/>
          <w:szCs w:val="21"/>
        </w:rPr>
        <w:t>；</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ascii="宋体" w:hAnsi="宋体" w:cs="TimesNewRomanPSMT"/>
          <w:color w:val="auto"/>
          <w:kern w:val="0"/>
          <w:sz w:val="21"/>
          <w:szCs w:val="21"/>
        </w:rPr>
        <w:t>投标</w:t>
      </w:r>
      <w:r>
        <w:rPr>
          <w:rFonts w:hint="eastAsia" w:ascii="宋体" w:hAnsi="宋体" w:cs="TimesNewRomanPSMT"/>
          <w:color w:val="auto"/>
          <w:kern w:val="0"/>
          <w:sz w:val="21"/>
          <w:szCs w:val="21"/>
        </w:rPr>
        <w:t>人管理体系必须健全，作业人员必须稳定；</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3.4 </w:t>
      </w:r>
      <w:r>
        <w:rPr>
          <w:rFonts w:ascii="宋体" w:hAnsi="宋体" w:cs="TimesNewRomanPSMT"/>
          <w:color w:val="auto"/>
          <w:kern w:val="0"/>
          <w:sz w:val="21"/>
          <w:szCs w:val="21"/>
        </w:rPr>
        <w:t>招标人不允许中标</w:t>
      </w:r>
      <w:r>
        <w:rPr>
          <w:rFonts w:hint="eastAsia" w:ascii="宋体" w:hAnsi="宋体" w:cs="TimesNewRomanPSMT"/>
          <w:color w:val="auto"/>
          <w:kern w:val="0"/>
          <w:sz w:val="21"/>
          <w:szCs w:val="21"/>
        </w:rPr>
        <w:t>人</w:t>
      </w:r>
      <w:r>
        <w:rPr>
          <w:rFonts w:ascii="宋体" w:hAnsi="宋体" w:cs="TimesNewRomanPSMT"/>
          <w:color w:val="auto"/>
          <w:kern w:val="0"/>
          <w:sz w:val="21"/>
          <w:szCs w:val="21"/>
        </w:rPr>
        <w:t>分包或转包本工程；</w:t>
      </w:r>
      <w:r>
        <w:rPr>
          <w:rFonts w:hint="eastAsia" w:ascii="宋体" w:hAnsi="宋体" w:cs="TimesNewRomanPSMT"/>
          <w:color w:val="auto"/>
          <w:kern w:val="0"/>
          <w:sz w:val="21"/>
          <w:szCs w:val="21"/>
        </w:rPr>
        <w:t>(有关违法分包定义见国务院令第279号《建设工程质量管理条例》)。</w:t>
      </w:r>
      <w:r>
        <w:rPr>
          <w:rFonts w:ascii="宋体" w:hAnsi="宋体" w:cs="TimesNewRomanPSMT"/>
          <w:color w:val="auto"/>
          <w:kern w:val="0"/>
          <w:sz w:val="21"/>
          <w:szCs w:val="21"/>
        </w:rPr>
        <w:t>投标</w:t>
      </w:r>
      <w:r>
        <w:rPr>
          <w:rFonts w:hint="eastAsia" w:ascii="宋体" w:hAnsi="宋体" w:cs="TimesNewRomanPSMT"/>
          <w:color w:val="auto"/>
          <w:kern w:val="0"/>
          <w:sz w:val="21"/>
          <w:szCs w:val="21"/>
        </w:rPr>
        <w:t>人</w:t>
      </w:r>
      <w:r>
        <w:rPr>
          <w:rFonts w:ascii="宋体" w:hAnsi="宋体" w:cs="TimesNewRomanPSMT"/>
          <w:color w:val="auto"/>
          <w:kern w:val="0"/>
          <w:sz w:val="21"/>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3.5 投标人必须承担工伤保险、人身意外险。投标人必须执行国家、地方及企业的</w:t>
      </w:r>
      <w:r>
        <w:rPr>
          <w:rFonts w:ascii="宋体" w:hAnsi="宋体" w:cs="TimesNewRomanPSMT"/>
          <w:color w:val="auto"/>
          <w:kern w:val="0"/>
          <w:sz w:val="21"/>
          <w:szCs w:val="21"/>
        </w:rPr>
        <w:t>安全生产法</w:t>
      </w:r>
      <w:r>
        <w:rPr>
          <w:rFonts w:hint="eastAsia" w:ascii="宋体" w:hAnsi="宋体" w:cs="TimesNewRomanPSMT"/>
          <w:color w:val="auto"/>
          <w:kern w:val="0"/>
          <w:sz w:val="21"/>
          <w:szCs w:val="21"/>
        </w:rPr>
        <w:t>及其相关规定。投标人必须执行国家、地方及企业项目建设廉洁的相关规定；</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3.6 </w:t>
      </w:r>
      <w:r>
        <w:rPr>
          <w:rFonts w:ascii="宋体" w:hAnsi="宋体" w:cs="TimesNewRomanPSMT"/>
          <w:color w:val="auto"/>
          <w:kern w:val="0"/>
          <w:sz w:val="21"/>
          <w:szCs w:val="21"/>
        </w:rPr>
        <w:t>投标人在施工时应按照国家、</w:t>
      </w:r>
      <w:r>
        <w:rPr>
          <w:rFonts w:hint="eastAsia" w:ascii="宋体" w:hAnsi="宋体" w:cs="TimesNewRomanPSMT"/>
          <w:color w:val="auto"/>
          <w:kern w:val="0"/>
          <w:sz w:val="21"/>
          <w:szCs w:val="21"/>
        </w:rPr>
        <w:t>业主和招标人</w:t>
      </w:r>
      <w:r>
        <w:rPr>
          <w:rFonts w:ascii="宋体" w:hAnsi="宋体" w:cs="TimesNewRomanPSMT"/>
          <w:color w:val="auto"/>
          <w:kern w:val="0"/>
          <w:sz w:val="21"/>
          <w:szCs w:val="21"/>
        </w:rPr>
        <w:t>关于建筑施工的要求，自觉到相关部门办理各种手续及缴纳费用，接受相关部门的监督、检查、管理；</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3.7 </w:t>
      </w:r>
      <w:r>
        <w:rPr>
          <w:rFonts w:ascii="宋体" w:hAnsi="宋体" w:cs="TimesNewRomanPSMT"/>
          <w:color w:val="auto"/>
          <w:kern w:val="0"/>
          <w:sz w:val="21"/>
          <w:szCs w:val="21"/>
        </w:rPr>
        <w:t>投标人在施工时自觉接受</w:t>
      </w:r>
      <w:r>
        <w:rPr>
          <w:rFonts w:hint="eastAsia" w:ascii="宋体" w:hAnsi="宋体" w:cs="TimesNewRomanPSMT"/>
          <w:color w:val="auto"/>
          <w:kern w:val="0"/>
          <w:sz w:val="21"/>
          <w:szCs w:val="21"/>
        </w:rPr>
        <w:t>业主和招标人</w:t>
      </w:r>
      <w:r>
        <w:rPr>
          <w:rFonts w:ascii="宋体" w:hAnsi="宋体" w:cs="TimesNewRomanPSMT"/>
          <w:color w:val="auto"/>
          <w:kern w:val="0"/>
          <w:sz w:val="21"/>
          <w:szCs w:val="21"/>
        </w:rPr>
        <w:t>各主管部门的监督、检查、管理，自觉遵守</w:t>
      </w:r>
      <w:r>
        <w:rPr>
          <w:rFonts w:hint="eastAsia" w:ascii="宋体" w:hAnsi="宋体" w:cs="TimesNewRomanPSMT"/>
          <w:color w:val="auto"/>
          <w:kern w:val="0"/>
          <w:sz w:val="21"/>
          <w:szCs w:val="21"/>
        </w:rPr>
        <w:t>业主和招标人</w:t>
      </w:r>
      <w:r>
        <w:rPr>
          <w:rFonts w:ascii="宋体" w:hAnsi="宋体" w:cs="TimesNewRomanPSMT"/>
          <w:color w:val="auto"/>
          <w:kern w:val="0"/>
          <w:sz w:val="21"/>
          <w:szCs w:val="21"/>
        </w:rPr>
        <w:t>各项规章制度；</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 xml:space="preserve">3.8 </w:t>
      </w:r>
      <w:r>
        <w:rPr>
          <w:rFonts w:ascii="宋体" w:hAnsi="宋体" w:cs="TimesNewRomanPSMT"/>
          <w:color w:val="auto"/>
          <w:kern w:val="0"/>
          <w:sz w:val="21"/>
          <w:szCs w:val="21"/>
        </w:rPr>
        <w:t>投标人</w:t>
      </w:r>
      <w:r>
        <w:rPr>
          <w:rFonts w:hint="eastAsia" w:ascii="宋体" w:hAnsi="宋体" w:cs="TimesNewRomanPSMT"/>
          <w:color w:val="auto"/>
          <w:kern w:val="0"/>
          <w:sz w:val="21"/>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Cs/>
          <w:color w:val="auto"/>
          <w:kern w:val="0"/>
          <w:sz w:val="21"/>
          <w:szCs w:val="21"/>
        </w:rPr>
      </w:pPr>
      <w:r>
        <w:rPr>
          <w:rFonts w:hint="eastAsia" w:ascii="宋体" w:hAnsi="宋体" w:cs="TimesNewRomanPSMT"/>
          <w:bCs/>
          <w:color w:val="auto"/>
          <w:kern w:val="0"/>
          <w:sz w:val="21"/>
          <w:szCs w:val="21"/>
        </w:rPr>
        <w:t>3.9 除非设计变更造成的返工，否则现场不予签证；</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Cs/>
          <w:color w:val="auto"/>
          <w:kern w:val="0"/>
          <w:sz w:val="21"/>
          <w:szCs w:val="21"/>
        </w:rPr>
      </w:pPr>
      <w:r>
        <w:rPr>
          <w:rFonts w:hint="eastAsia" w:ascii="宋体" w:hAnsi="宋体" w:cs="TimesNewRomanPSMT"/>
          <w:bCs/>
          <w:color w:val="auto"/>
          <w:kern w:val="0"/>
          <w:sz w:val="21"/>
          <w:szCs w:val="21"/>
        </w:rPr>
        <w:t>3.10 单项设计变更金额小于2000元人民币，或累计设计变更不足分包合同金额的2％时，结算价款不予调整。</w:t>
      </w:r>
    </w:p>
    <w:p>
      <w:pPr>
        <w:pStyle w:val="4"/>
        <w:keepNext w:val="0"/>
        <w:keepLines w:val="0"/>
        <w:pageBreakBefore w:val="0"/>
        <w:widowControl w:val="0"/>
        <w:kinsoku/>
        <w:overflowPunct/>
        <w:topLinePunct w:val="0"/>
        <w:bidi w:val="0"/>
        <w:spacing w:after="0" w:line="40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3.11投标人必须按时发放民工生活费，不得无故上访讨薪或发生民工上访讨薪事件，否则每发生一起扣除5000元，民工工资履约保证金扣完后则直接在工程款中进行扣除。</w:t>
      </w:r>
    </w:p>
    <w:p>
      <w:pPr>
        <w:pStyle w:val="4"/>
        <w:keepNext w:val="0"/>
        <w:keepLines w:val="0"/>
        <w:pageBreakBefore w:val="0"/>
        <w:widowControl w:val="0"/>
        <w:kinsoku/>
        <w:overflowPunct/>
        <w:topLinePunct w:val="0"/>
        <w:bidi w:val="0"/>
        <w:spacing w:after="0" w:line="40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3.12投标人须根据施工组织的要求及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管理、监理、业主及质监部门要求进行临时用水用电的设置，如工期较急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委托的其它班组均可以免费使用。</w:t>
      </w:r>
    </w:p>
    <w:p>
      <w:pPr>
        <w:pStyle w:val="4"/>
        <w:keepNext w:val="0"/>
        <w:keepLines w:val="0"/>
        <w:pageBreakBefore w:val="0"/>
        <w:widowControl w:val="0"/>
        <w:kinsoku/>
        <w:overflowPunct/>
        <w:topLinePunct w:val="0"/>
        <w:bidi w:val="0"/>
        <w:spacing w:after="0" w:line="40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3.13投标人一旦中标后须严格服从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管理人员的管理则</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有权要求中标人更换相关管理人员，中标人须无条件接受，</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4"/>
        <w:keepNext w:val="0"/>
        <w:keepLines w:val="0"/>
        <w:pageBreakBefore w:val="0"/>
        <w:widowControl w:val="0"/>
        <w:kinsoku/>
        <w:overflowPunct/>
        <w:topLinePunct w:val="0"/>
        <w:bidi w:val="0"/>
        <w:spacing w:line="400" w:lineRule="exact"/>
        <w:ind w:left="63" w:right="63"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3.14业主与</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lang w:eastAsia="zh-CN"/>
        </w:rPr>
        <w:t>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lang w:eastAsia="zh-CN"/>
        </w:rPr>
        <w:t>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lang w:eastAsia="zh-CN"/>
        </w:rPr>
        <w:t>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lang w:eastAsia="zh-CN"/>
        </w:rPr>
        <w:t>标人</w:t>
      </w:r>
      <w:r>
        <w:rPr>
          <w:rFonts w:hint="eastAsia" w:ascii="宋体" w:hAnsi="宋体" w:cs="TimesNewRomanPSMT"/>
          <w:bCs/>
          <w:color w:val="auto"/>
          <w:sz w:val="21"/>
          <w:szCs w:val="21"/>
        </w:rPr>
        <w:t>必须遵照执行。</w:t>
      </w:r>
    </w:p>
    <w:p>
      <w:pPr>
        <w:pStyle w:val="4"/>
        <w:keepNext w:val="0"/>
        <w:keepLines w:val="0"/>
        <w:pageBreakBefore w:val="0"/>
        <w:widowControl w:val="0"/>
        <w:kinsoku/>
        <w:overflowPunct/>
        <w:topLinePunct w:val="0"/>
        <w:bidi w:val="0"/>
        <w:spacing w:line="400" w:lineRule="exact"/>
        <w:ind w:left="0" w:leftChars="0" w:right="63"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3.15投标人一旦中标后承诺在3天内组织管理班子及工人进场开始施工，在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4"/>
        <w:keepNext w:val="0"/>
        <w:keepLines w:val="0"/>
        <w:pageBreakBefore w:val="0"/>
        <w:widowControl w:val="0"/>
        <w:kinsoku/>
        <w:overflowPunct/>
        <w:topLinePunct w:val="0"/>
        <w:bidi w:val="0"/>
        <w:spacing w:line="400" w:lineRule="exact"/>
        <w:ind w:left="0" w:leftChars="0" w:right="63" w:firstLine="0" w:firstLineChars="0"/>
        <w:jc w:val="both"/>
        <w:rPr>
          <w:color w:val="auto"/>
          <w:sz w:val="21"/>
          <w:szCs w:val="21"/>
        </w:rPr>
      </w:pPr>
      <w:r>
        <w:rPr>
          <w:rFonts w:hint="eastAsia" w:ascii="宋体" w:hAnsi="宋体" w:cs="TimesNewRomanPSMT"/>
          <w:bCs/>
          <w:color w:val="auto"/>
          <w:sz w:val="21"/>
          <w:szCs w:val="21"/>
        </w:rPr>
        <w:t>3.16投标人一旦中标后，服从</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完成招标范围内的全部施工内容及其它相应内容，直至消防竣工验收完成。投标人在投标报价是须充分考虑此项费用，实际发生时不予额外计量。</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b/>
          <w:color w:val="auto"/>
          <w:kern w:val="0"/>
          <w:sz w:val="21"/>
          <w:szCs w:val="21"/>
        </w:rPr>
      </w:pPr>
      <w:r>
        <w:rPr>
          <w:rFonts w:hint="eastAsia" w:ascii="宋体" w:hAnsi="宋体" w:cs="TimesNewRomanPSMT"/>
          <w:b/>
          <w:color w:val="auto"/>
          <w:kern w:val="0"/>
          <w:sz w:val="21"/>
          <w:szCs w:val="21"/>
        </w:rPr>
        <w:t>4</w:t>
      </w:r>
      <w:r>
        <w:rPr>
          <w:rFonts w:ascii="宋体" w:hAnsi="宋体" w:cs="TimesNewRomanPSMT"/>
          <w:b/>
          <w:color w:val="auto"/>
          <w:kern w:val="0"/>
          <w:sz w:val="21"/>
          <w:szCs w:val="21"/>
        </w:rPr>
        <w:t xml:space="preserve">. </w:t>
      </w:r>
      <w:r>
        <w:rPr>
          <w:rFonts w:hint="eastAsia" w:ascii="宋体" w:hAnsi="宋体" w:cs="TimesNewRomanPSMT"/>
          <w:b/>
          <w:color w:val="auto"/>
          <w:kern w:val="0"/>
          <w:sz w:val="21"/>
          <w:szCs w:val="21"/>
        </w:rPr>
        <w:t>工程报价</w:t>
      </w:r>
    </w:p>
    <w:p>
      <w:pPr>
        <w:keepNext w:val="0"/>
        <w:keepLines w:val="0"/>
        <w:pageBreakBefore w:val="0"/>
        <w:widowControl w:val="0"/>
        <w:kinsoku/>
        <w:overflowPunct/>
        <w:topLinePunct w:val="0"/>
        <w:autoSpaceDE w:val="0"/>
        <w:autoSpaceDN w:val="0"/>
        <w:bidi w:val="0"/>
        <w:adjustRightInd w:val="0"/>
        <w:spacing w:line="400" w:lineRule="exact"/>
        <w:jc w:val="left"/>
        <w:rPr>
          <w:rFonts w:ascii="宋体" w:hAnsi="宋体" w:cs="TimesNewRomanPSMT"/>
          <w:color w:val="auto"/>
          <w:kern w:val="0"/>
          <w:sz w:val="21"/>
          <w:szCs w:val="21"/>
        </w:rPr>
      </w:pPr>
      <w:r>
        <w:rPr>
          <w:rFonts w:hint="eastAsia" w:ascii="宋体" w:hAnsi="宋体" w:cs="TimesNewRomanPSMT"/>
          <w:color w:val="auto"/>
          <w:kern w:val="0"/>
          <w:sz w:val="21"/>
          <w:szCs w:val="21"/>
        </w:rPr>
        <w:t>详见报价书。</w:t>
      </w:r>
    </w:p>
    <w:p>
      <w:pPr>
        <w:pStyle w:val="4"/>
        <w:keepNext w:val="0"/>
        <w:keepLines w:val="0"/>
        <w:pageBreakBefore w:val="0"/>
        <w:widowControl w:val="0"/>
        <w:numPr>
          <w:ilvl w:val="0"/>
          <w:numId w:val="2"/>
        </w:numPr>
        <w:kinsoku/>
        <w:overflowPunct/>
        <w:topLinePunct w:val="0"/>
        <w:bidi w:val="0"/>
        <w:spacing w:line="400" w:lineRule="exact"/>
        <w:ind w:left="0" w:leftChars="0" w:right="63" w:firstLine="0" w:firstLineChars="0"/>
        <w:jc w:val="left"/>
        <w:rPr>
          <w:rFonts w:ascii="宋体" w:hAnsi="宋体" w:cs="宋体"/>
          <w:b/>
          <w:bCs/>
          <w:color w:val="auto"/>
          <w:sz w:val="21"/>
          <w:szCs w:val="21"/>
        </w:rPr>
      </w:pPr>
      <w:r>
        <w:rPr>
          <w:rFonts w:hint="eastAsia" w:ascii="宋体" w:hAnsi="宋体" w:cs="宋体"/>
          <w:b/>
          <w:bCs/>
          <w:color w:val="auto"/>
          <w:sz w:val="21"/>
          <w:szCs w:val="21"/>
        </w:rPr>
        <w:t>参考清单</w:t>
      </w:r>
    </w:p>
    <w:p>
      <w:pPr>
        <w:pStyle w:val="4"/>
        <w:keepNext w:val="0"/>
        <w:keepLines w:val="0"/>
        <w:pageBreakBefore w:val="0"/>
        <w:widowControl w:val="0"/>
        <w:kinsoku/>
        <w:overflowPunct/>
        <w:topLinePunct w:val="0"/>
        <w:bidi w:val="0"/>
        <w:spacing w:line="400" w:lineRule="exact"/>
        <w:ind w:left="0" w:leftChars="0" w:right="63" w:firstLine="0" w:firstLineChars="0"/>
        <w:jc w:val="left"/>
        <w:rPr>
          <w:rFonts w:hint="eastAsia" w:ascii="宋体" w:hAnsi="宋体" w:cs="宋体"/>
          <w:color w:val="auto"/>
          <w:sz w:val="21"/>
          <w:szCs w:val="21"/>
        </w:rPr>
      </w:pPr>
      <w:r>
        <w:rPr>
          <w:rFonts w:hint="eastAsia" w:ascii="宋体" w:hAnsi="宋体" w:cs="宋体"/>
          <w:color w:val="auto"/>
          <w:sz w:val="21"/>
          <w:szCs w:val="21"/>
        </w:rPr>
        <w:t>5.1旧馆卫生院参考清单</w:t>
      </w:r>
    </w:p>
    <w:p>
      <w:pPr>
        <w:pStyle w:val="5"/>
        <w:keepNext w:val="0"/>
        <w:keepLines w:val="0"/>
        <w:pageBreakBefore w:val="0"/>
        <w:widowControl w:val="0"/>
        <w:kinsoku/>
        <w:overflowPunct/>
        <w:topLinePunct w:val="0"/>
        <w:bidi w:val="0"/>
        <w:spacing w:line="400" w:lineRule="exact"/>
        <w:ind w:left="0" w:leftChars="0"/>
        <w:rPr>
          <w:rFonts w:hint="eastAsia"/>
          <w:b/>
          <w:color w:val="auto"/>
          <w:sz w:val="21"/>
          <w:szCs w:val="21"/>
        </w:rPr>
      </w:pPr>
      <w:r>
        <w:rPr>
          <w:rFonts w:hint="eastAsia"/>
          <w:b/>
          <w:color w:val="auto"/>
          <w:sz w:val="21"/>
          <w:szCs w:val="21"/>
        </w:rPr>
        <w:t>5.1.1旧馆检验科</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295"/>
        <w:gridCol w:w="5565"/>
        <w:gridCol w:w="106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序号              </w:t>
            </w:r>
          </w:p>
        </w:tc>
        <w:tc>
          <w:tcPr>
            <w:tcW w:w="1074"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名称           </w:t>
            </w:r>
          </w:p>
        </w:tc>
        <w:tc>
          <w:tcPr>
            <w:tcW w:w="2604"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规格型号/技术描述                                   </w:t>
            </w:r>
          </w:p>
        </w:tc>
        <w:tc>
          <w:tcPr>
            <w:tcW w:w="498"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单位             </w:t>
            </w:r>
          </w:p>
        </w:tc>
        <w:tc>
          <w:tcPr>
            <w:tcW w:w="460"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工程量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Merge w:val="continue"/>
            <w:vAlign w:val="center"/>
          </w:tcPr>
          <w:p>
            <w:pPr>
              <w:widowControl/>
              <w:jc w:val="left"/>
              <w:rPr>
                <w:rFonts w:ascii="宋体" w:hAnsi="宋体" w:cs="宋体"/>
                <w:b/>
                <w:bCs/>
                <w:color w:val="auto"/>
                <w:kern w:val="0"/>
                <w:sz w:val="21"/>
                <w:szCs w:val="21"/>
              </w:rPr>
            </w:pPr>
          </w:p>
        </w:tc>
        <w:tc>
          <w:tcPr>
            <w:tcW w:w="1074" w:type="pct"/>
            <w:vMerge w:val="continue"/>
            <w:tcBorders>
              <w:bottom w:val="single" w:color="auto" w:sz="4" w:space="0"/>
            </w:tcBorders>
            <w:vAlign w:val="center"/>
          </w:tcPr>
          <w:p>
            <w:pPr>
              <w:widowControl/>
              <w:jc w:val="left"/>
              <w:rPr>
                <w:rFonts w:ascii="宋体" w:hAnsi="宋体" w:cs="宋体"/>
                <w:b/>
                <w:bCs/>
                <w:color w:val="auto"/>
                <w:kern w:val="0"/>
                <w:sz w:val="21"/>
                <w:szCs w:val="21"/>
              </w:rPr>
            </w:pPr>
          </w:p>
        </w:tc>
        <w:tc>
          <w:tcPr>
            <w:tcW w:w="2604" w:type="pct"/>
            <w:vMerge w:val="continue"/>
            <w:tcBorders>
              <w:bottom w:val="single" w:color="auto" w:sz="4" w:space="0"/>
            </w:tcBorders>
            <w:vAlign w:val="center"/>
          </w:tcPr>
          <w:p>
            <w:pPr>
              <w:widowControl/>
              <w:jc w:val="left"/>
              <w:rPr>
                <w:rFonts w:ascii="宋体" w:hAnsi="宋体" w:cs="宋体"/>
                <w:b/>
                <w:bCs/>
                <w:color w:val="auto"/>
                <w:kern w:val="0"/>
                <w:sz w:val="21"/>
                <w:szCs w:val="21"/>
              </w:rPr>
            </w:pPr>
          </w:p>
        </w:tc>
        <w:tc>
          <w:tcPr>
            <w:tcW w:w="498" w:type="pct"/>
            <w:vMerge w:val="continue"/>
            <w:vAlign w:val="center"/>
          </w:tcPr>
          <w:p>
            <w:pPr>
              <w:widowControl/>
              <w:jc w:val="left"/>
              <w:rPr>
                <w:rFonts w:ascii="宋体" w:hAnsi="宋体" w:cs="宋体"/>
                <w:b/>
                <w:bCs/>
                <w:color w:val="auto"/>
                <w:kern w:val="0"/>
                <w:sz w:val="21"/>
                <w:szCs w:val="21"/>
              </w:rPr>
            </w:pPr>
          </w:p>
        </w:tc>
        <w:tc>
          <w:tcPr>
            <w:tcW w:w="460" w:type="pct"/>
            <w:vMerge w:val="continue"/>
            <w:vAlign w:val="center"/>
          </w:tcPr>
          <w:p>
            <w:pPr>
              <w:widowControl/>
              <w:jc w:val="left"/>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2" w:type="pct"/>
            <w:shd w:val="clear" w:color="auto" w:fill="auto"/>
            <w:noWrap/>
            <w:vAlign w:val="center"/>
          </w:tcPr>
          <w:p>
            <w:pPr>
              <w:widowControl/>
              <w:jc w:val="left"/>
              <w:rPr>
                <w:rFonts w:ascii="宋体" w:hAnsi="宋体" w:cs="宋体"/>
                <w:b/>
                <w:bCs/>
                <w:color w:val="auto"/>
                <w:kern w:val="0"/>
                <w:sz w:val="21"/>
                <w:szCs w:val="21"/>
              </w:rPr>
            </w:pPr>
          </w:p>
        </w:tc>
        <w:tc>
          <w:tcPr>
            <w:tcW w:w="1074" w:type="pct"/>
            <w:tcBorders>
              <w:right w:val="nil"/>
            </w:tcBorders>
            <w:shd w:val="clear" w:color="auto" w:fill="auto"/>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一、设备部分</w:t>
            </w:r>
          </w:p>
        </w:tc>
        <w:tc>
          <w:tcPr>
            <w:tcW w:w="2604" w:type="pct"/>
            <w:tcBorders>
              <w:left w:val="nil"/>
            </w:tcBorders>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9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60"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中央台</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钢木结构，柜体为1.0mm厚冷轧钢板，表面喷涂环氧树脂粉末，12.7±0.3mmmm厚佰净实芯理化板台面，防酸防碱。尺寸：4000*1500*820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边台</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钢木结构，柜体为1.0mm厚冷轧钢板，表面喷涂环氧树脂粉末，12.7±0.3mmmm厚佰净实芯理化板台面，防酸防碱。尺寸：1150*750*820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边台</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钢木结构，柜体为1.0mm厚冷轧钢板，表面喷涂环氧树脂粉末，12.7±0.3mmmm厚佰净实芯理化板台面，防酸防碱。尺寸：2000*750*820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边台</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钢木结构，柜体为1.0mm厚冷轧钢板，表面喷涂环氧树脂粉末，12.7±0.3mmmm厚佰净实芯理化板台面，防酸防碱。尺寸：6650*750*820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岛式插座</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钢制底盒，威斯堡万用二、三插，尺寸：220V 10A</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tcBorders>
              <w:bottom w:val="single" w:color="auto" w:sz="4" w:space="0"/>
            </w:tcBorders>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PP水槽及三口水龙头</w:t>
            </w:r>
          </w:p>
        </w:tc>
        <w:tc>
          <w:tcPr>
            <w:tcW w:w="2604" w:type="pct"/>
            <w:tcBorders>
              <w:bottom w:val="single" w:color="auto" w:sz="4" w:space="0"/>
            </w:tcBorders>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瓷质铜芯实验室专用三口水龙头，PP一体成型水槽。Ssan-21304</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组</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2" w:type="pct"/>
            <w:shd w:val="clear" w:color="auto" w:fill="auto"/>
            <w:noWrap/>
            <w:vAlign w:val="center"/>
          </w:tcPr>
          <w:p>
            <w:pPr>
              <w:widowControl/>
              <w:jc w:val="left"/>
              <w:rPr>
                <w:rFonts w:ascii="宋体" w:hAnsi="宋体" w:cs="宋体"/>
                <w:b/>
                <w:bCs/>
                <w:color w:val="auto"/>
                <w:kern w:val="0"/>
                <w:sz w:val="21"/>
                <w:szCs w:val="21"/>
              </w:rPr>
            </w:pPr>
          </w:p>
        </w:tc>
        <w:tc>
          <w:tcPr>
            <w:tcW w:w="1074" w:type="pct"/>
            <w:tcBorders>
              <w:right w:val="nil"/>
            </w:tcBorders>
            <w:shd w:val="clear" w:color="auto" w:fill="auto"/>
            <w:noWrap/>
            <w:vAlign w:val="center"/>
          </w:tcPr>
          <w:p>
            <w:pPr>
              <w:widowControl/>
              <w:jc w:val="both"/>
              <w:rPr>
                <w:rFonts w:ascii="宋体" w:hAnsi="宋体" w:cs="宋体"/>
                <w:b/>
                <w:bCs/>
                <w:color w:val="auto"/>
                <w:kern w:val="0"/>
                <w:sz w:val="21"/>
                <w:szCs w:val="21"/>
              </w:rPr>
            </w:pPr>
            <w:r>
              <w:rPr>
                <w:rFonts w:hint="eastAsia" w:ascii="宋体" w:hAnsi="宋体" w:cs="宋体"/>
                <w:b/>
                <w:bCs/>
                <w:color w:val="auto"/>
                <w:kern w:val="0"/>
                <w:sz w:val="21"/>
                <w:szCs w:val="21"/>
              </w:rPr>
              <w:t>二、装饰部分　</w:t>
            </w:r>
          </w:p>
        </w:tc>
        <w:tc>
          <w:tcPr>
            <w:tcW w:w="2604" w:type="pct"/>
            <w:tcBorders>
              <w:left w:val="nil"/>
            </w:tcBorders>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9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60"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采血窗口</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专业厂家定制</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塑料卷材楼地面</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面层材料品种、规格、品牌、颜色:3mm厚自流平基层处理地面；2mm厚同质透心PVC塑胶卷材地板地面（选样），防静电，专用粘结剂粘贴，同材料焊条焊缝。</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吊顶天棚</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1、机制硫氧镁夹芯彩钢板吊顶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2、材质：钢板（冷轧热镀锌）厚度0.5mm，硫氧镁夹芯板厚度R50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隔墙</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1、钢板（冷轧热镀锌）厚度0.5mm，岩棉夹芯板厚度R50，岩棉容重100kg/m。</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50槽铝</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内圆弧</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1、铝板厚度0.8mm，配塑料底条</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外圆柱</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25角铝</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大T梁</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双密封净化门安装：1500*2100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双密封净化门安装：1000*2100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74" w:type="pct"/>
            <w:tcBorders>
              <w:bottom w:val="single" w:color="auto" w:sz="4" w:space="0"/>
            </w:tcBorders>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金属（塑钢、断桥）窗</w:t>
            </w:r>
          </w:p>
        </w:tc>
        <w:tc>
          <w:tcPr>
            <w:tcW w:w="2604" w:type="pct"/>
            <w:tcBorders>
              <w:bottom w:val="single" w:color="auto" w:sz="4" w:space="0"/>
            </w:tcBorders>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1、紫外灭菌传递窗安装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2、600*600*600机械联锁，带紫外杀菌灯</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noWrap/>
            <w:vAlign w:val="center"/>
          </w:tcPr>
          <w:p>
            <w:pPr>
              <w:widowControl/>
              <w:jc w:val="left"/>
              <w:rPr>
                <w:rFonts w:ascii="宋体" w:hAnsi="宋体" w:cs="宋体"/>
                <w:b/>
                <w:bCs/>
                <w:color w:val="auto"/>
                <w:kern w:val="0"/>
                <w:sz w:val="21"/>
                <w:szCs w:val="21"/>
              </w:rPr>
            </w:pPr>
          </w:p>
        </w:tc>
        <w:tc>
          <w:tcPr>
            <w:tcW w:w="1074" w:type="pct"/>
            <w:tcBorders>
              <w:right w:val="nil"/>
            </w:tcBorders>
            <w:shd w:val="clear" w:color="auto" w:fill="auto"/>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三、电气部分</w:t>
            </w:r>
          </w:p>
        </w:tc>
        <w:tc>
          <w:tcPr>
            <w:tcW w:w="2604" w:type="pct"/>
            <w:tcBorders>
              <w:left w:val="nil"/>
            </w:tcBorders>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9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60"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JDG20</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JDG25</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NH-BV-2.5mm</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BV-4mm2</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YJV-5*4（含电缆头制作安装）</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YJV-5*6（含电缆头制作安装）</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跷板暗开关单控安装 单联</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跷板暗开关双控安装 单联</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单相带接地五孔暗插座电流（A）≤16</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接线盒</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暗装86型接线盒</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30W</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40W</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应急洁净灯安装 40W</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换气扇</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300风量</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等离子消毒</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等离子除菌过滤</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插座箱</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1、插座箱安装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1、楼层照明配电箱安装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49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bl>
    <w:p>
      <w:pPr>
        <w:pStyle w:val="5"/>
        <w:ind w:left="0" w:leftChars="0"/>
        <w:rPr>
          <w:rFonts w:hint="eastAsia"/>
          <w:color w:val="auto"/>
          <w:sz w:val="21"/>
          <w:szCs w:val="21"/>
        </w:rPr>
      </w:pPr>
    </w:p>
    <w:p>
      <w:pPr>
        <w:pStyle w:val="5"/>
        <w:ind w:left="0" w:leftChars="0"/>
        <w:rPr>
          <w:rFonts w:hint="eastAsia"/>
          <w:b/>
          <w:color w:val="auto"/>
          <w:sz w:val="21"/>
          <w:szCs w:val="21"/>
        </w:rPr>
      </w:pPr>
      <w:r>
        <w:rPr>
          <w:rFonts w:hint="eastAsia"/>
          <w:b/>
          <w:color w:val="auto"/>
          <w:sz w:val="21"/>
          <w:szCs w:val="21"/>
        </w:rPr>
        <w:t>5.1.2旧馆手术室</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95"/>
        <w:gridCol w:w="5581"/>
        <w:gridCol w:w="109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序  号              </w:t>
            </w:r>
          </w:p>
        </w:tc>
        <w:tc>
          <w:tcPr>
            <w:tcW w:w="1074"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名称           </w:t>
            </w:r>
          </w:p>
        </w:tc>
        <w:tc>
          <w:tcPr>
            <w:tcW w:w="2611"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规格型号/技术描述                                   </w:t>
            </w:r>
          </w:p>
        </w:tc>
        <w:tc>
          <w:tcPr>
            <w:tcW w:w="513"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单位             </w:t>
            </w:r>
          </w:p>
        </w:tc>
        <w:tc>
          <w:tcPr>
            <w:tcW w:w="438"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Merge w:val="continue"/>
            <w:vAlign w:val="center"/>
          </w:tcPr>
          <w:p>
            <w:pPr>
              <w:widowControl/>
              <w:jc w:val="left"/>
              <w:rPr>
                <w:rFonts w:ascii="宋体" w:hAnsi="宋体" w:cs="宋体"/>
                <w:b/>
                <w:bCs/>
                <w:color w:val="auto"/>
                <w:kern w:val="0"/>
                <w:sz w:val="21"/>
                <w:szCs w:val="21"/>
              </w:rPr>
            </w:pPr>
          </w:p>
        </w:tc>
        <w:tc>
          <w:tcPr>
            <w:tcW w:w="1074" w:type="pct"/>
            <w:vMerge w:val="continue"/>
            <w:vAlign w:val="center"/>
          </w:tcPr>
          <w:p>
            <w:pPr>
              <w:widowControl/>
              <w:jc w:val="left"/>
              <w:rPr>
                <w:rFonts w:ascii="宋体" w:hAnsi="宋体" w:cs="宋体"/>
                <w:b/>
                <w:bCs/>
                <w:color w:val="auto"/>
                <w:kern w:val="0"/>
                <w:sz w:val="21"/>
                <w:szCs w:val="21"/>
              </w:rPr>
            </w:pPr>
          </w:p>
        </w:tc>
        <w:tc>
          <w:tcPr>
            <w:tcW w:w="2611" w:type="pct"/>
            <w:vMerge w:val="continue"/>
            <w:vAlign w:val="center"/>
          </w:tcPr>
          <w:p>
            <w:pPr>
              <w:widowControl/>
              <w:jc w:val="left"/>
              <w:rPr>
                <w:rFonts w:ascii="宋体" w:hAnsi="宋体" w:cs="宋体"/>
                <w:b/>
                <w:bCs/>
                <w:color w:val="auto"/>
                <w:kern w:val="0"/>
                <w:sz w:val="21"/>
                <w:szCs w:val="21"/>
              </w:rPr>
            </w:pPr>
          </w:p>
        </w:tc>
        <w:tc>
          <w:tcPr>
            <w:tcW w:w="513" w:type="pct"/>
            <w:vMerge w:val="continue"/>
            <w:vAlign w:val="center"/>
          </w:tcPr>
          <w:p>
            <w:pPr>
              <w:widowControl/>
              <w:jc w:val="left"/>
              <w:rPr>
                <w:rFonts w:ascii="宋体" w:hAnsi="宋体" w:cs="宋体"/>
                <w:b/>
                <w:bCs/>
                <w:color w:val="auto"/>
                <w:kern w:val="0"/>
                <w:sz w:val="21"/>
                <w:szCs w:val="21"/>
              </w:rPr>
            </w:pPr>
          </w:p>
        </w:tc>
        <w:tc>
          <w:tcPr>
            <w:tcW w:w="438" w:type="pct"/>
            <w:vMerge w:val="continue"/>
            <w:vAlign w:val="center"/>
          </w:tcPr>
          <w:p>
            <w:pPr>
              <w:widowControl/>
              <w:jc w:val="left"/>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一、设备部分</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亚光不锈钢麻醉柜</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900mmW*1300mmH*300mmD，304不锈钢制作</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亚光不锈钢器械柜</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900mmW*1300mmH*300mmD，304不锈钢制作</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亚光不锈钢药品柜</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900mmW*1300mmH*300mmD，304不锈钢制作</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不锈钢边框看片箱</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900mmW*500mmH*120mmD，四联、照度大于3000lx，节能灯管，304不锈钢饰面</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亚光不锈钢书写板</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700mm*400mm*200mm，304不锈钢制作</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气体面板</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双氧双吸</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不锈钢电源插座箱</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250V-10A,五孔插座、250V016A 三孔插座</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不锈钢感应洗手池</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304不锈钢制作带热水器</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不锈钢污洗池</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304不锈钢制作带热水器</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控制面板</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304不锈钢边框，700mm*500mm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专业名称：装饰部分</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center"/>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塑料卷材楼地面</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面层材料品种、规格、品牌、颜色:3mm厚自流平基层处理地面；2mm厚同质透心PVC塑胶卷材地板地面（选样），防静电，专用粘结剂粘贴，同材料焊条焊缝。</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吊顶天棚</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1、机制硫氧镁夹芯彩钢板吊顶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2、材质：钢板（冷轧热镀锌）厚度0.5mm，硫氧镁夹芯板厚度R50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隔墙</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1、钢板（冷轧热镀锌）厚度0.5mm，岩棉夹芯板厚度R50，岩棉容重100kg/m。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圆弧</w:t>
            </w:r>
          </w:p>
        </w:tc>
        <w:tc>
          <w:tcPr>
            <w:tcW w:w="2611"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喷塑制作，翻边22，R200，反面采用B1级橡塑保温处理</w:t>
            </w:r>
          </w:p>
        </w:tc>
        <w:tc>
          <w:tcPr>
            <w:tcW w:w="5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1/8圆球</w:t>
            </w:r>
          </w:p>
        </w:tc>
        <w:tc>
          <w:tcPr>
            <w:tcW w:w="2611"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2T铝板 ,R200喷塑，反面采用B1级橡塑保温处理</w:t>
            </w:r>
          </w:p>
        </w:tc>
        <w:tc>
          <w:tcPr>
            <w:tcW w:w="5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内圆弧</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1、铝板厚度0.8mm，配塑料底条</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外圆柱</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25角铝</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大T梁</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双密封净化门安装：1500*2100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双密封净化门安装：1200*2100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双密封净化门安装：1000*2100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电动门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1500mm*2100mm感应门，带600mm×400mm观察窗，开门有感应、电动和手动；采用脚感装置，带有延时关闭功能，有应急手动开门功能，防夹、防撞；</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扇</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密码刷卡器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门禁系统（电动门上专用）</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二、空调部分</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MDV-D28T2/DN1-C3(B)</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MDV-D36T2/DN1-C3(B)</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MDV-D56T2/DN1-C3(B)</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MDV-D80T2/DN1-C(B)</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多联机变频室外机</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MDV-400W/D2SN1-8X（I）</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新风预处理机组</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净化新风机组风量2000冷量14.5KW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排风机组</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500风量，带初中效过滤器</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镀锌风管</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新风、排风专用风管</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铜管</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分歧管</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冷凝水管及保温</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PVC</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铝及铝合金风口、散流器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出风口安装：定制</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铝及铝合金风口、散流器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回风口安装：定制</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防雨百叶</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非标定制，带防虫网</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线控器</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控制线敷设</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控制器接线插线管</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送回风口管道</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聚氨酯管道安装</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机械吊装</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机械开槽/钻孔</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三、电气部分</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JDG25</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NH-BV-2.5mm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BV-4mm2</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YJV-5*4（含电缆头制作安装）</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YJV-5*6（含电缆头制作安装）</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YJV-3*35+2*16（含电缆头制作安装）</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跷板暗开关单控安装 单联</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跷板暗开关双控安装 单联</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单相带接地五孔暗插座电流（A）≤16</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地插</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防水地插</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接线盒</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暗装86型接线盒</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30W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40W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应急洁净灯安装 40W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紫外线消毒灯</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医用紫外线消毒灯</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换气扇</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300风量</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等离子消毒</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等离子除菌过滤</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手术室专用插座箱</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1、插座箱安装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1、楼层照明配电箱安装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总配电箱</w:t>
            </w:r>
          </w:p>
        </w:tc>
        <w:tc>
          <w:tcPr>
            <w:tcW w:w="2611"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1.名称:成套配电箱（含所有元器件）安装 2.技术要求详见系统</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bl>
    <w:p>
      <w:pPr>
        <w:pStyle w:val="5"/>
        <w:ind w:left="0" w:leftChars="0"/>
        <w:rPr>
          <w:rFonts w:hint="eastAsia"/>
          <w:b/>
          <w:color w:val="auto"/>
          <w:sz w:val="21"/>
          <w:szCs w:val="21"/>
        </w:rPr>
      </w:pPr>
      <w:bookmarkStart w:id="44" w:name="_GoBack"/>
      <w:bookmarkEnd w:id="44"/>
      <w:r>
        <w:rPr>
          <w:rFonts w:hint="eastAsia"/>
          <w:b/>
          <w:color w:val="auto"/>
          <w:sz w:val="21"/>
          <w:szCs w:val="21"/>
        </w:rPr>
        <w:t>5.1.3旧馆抢救室</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95"/>
        <w:gridCol w:w="5566"/>
        <w:gridCol w:w="1111"/>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序  号              </w:t>
            </w:r>
          </w:p>
        </w:tc>
        <w:tc>
          <w:tcPr>
            <w:tcW w:w="1074"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名称           </w:t>
            </w:r>
          </w:p>
        </w:tc>
        <w:tc>
          <w:tcPr>
            <w:tcW w:w="2604"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规格型号/技术描述                                   </w:t>
            </w:r>
          </w:p>
        </w:tc>
        <w:tc>
          <w:tcPr>
            <w:tcW w:w="520"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单位             </w:t>
            </w:r>
          </w:p>
        </w:tc>
        <w:tc>
          <w:tcPr>
            <w:tcW w:w="438"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2" w:type="pct"/>
            <w:vMerge w:val="continue"/>
            <w:vAlign w:val="center"/>
          </w:tcPr>
          <w:p>
            <w:pPr>
              <w:widowControl/>
              <w:jc w:val="left"/>
              <w:rPr>
                <w:rFonts w:ascii="宋体" w:hAnsi="宋体" w:cs="宋体"/>
                <w:b/>
                <w:bCs/>
                <w:color w:val="auto"/>
                <w:kern w:val="0"/>
                <w:sz w:val="21"/>
                <w:szCs w:val="21"/>
              </w:rPr>
            </w:pPr>
          </w:p>
        </w:tc>
        <w:tc>
          <w:tcPr>
            <w:tcW w:w="1074" w:type="pct"/>
            <w:vMerge w:val="continue"/>
            <w:vAlign w:val="center"/>
          </w:tcPr>
          <w:p>
            <w:pPr>
              <w:widowControl/>
              <w:jc w:val="left"/>
              <w:rPr>
                <w:rFonts w:ascii="宋体" w:hAnsi="宋体" w:cs="宋体"/>
                <w:b/>
                <w:bCs/>
                <w:color w:val="auto"/>
                <w:kern w:val="0"/>
                <w:sz w:val="21"/>
                <w:szCs w:val="21"/>
              </w:rPr>
            </w:pPr>
          </w:p>
        </w:tc>
        <w:tc>
          <w:tcPr>
            <w:tcW w:w="2604" w:type="pct"/>
            <w:vMerge w:val="continue"/>
            <w:vAlign w:val="center"/>
          </w:tcPr>
          <w:p>
            <w:pPr>
              <w:widowControl/>
              <w:jc w:val="left"/>
              <w:rPr>
                <w:rFonts w:ascii="宋体" w:hAnsi="宋体" w:cs="宋体"/>
                <w:b/>
                <w:bCs/>
                <w:color w:val="auto"/>
                <w:kern w:val="0"/>
                <w:sz w:val="21"/>
                <w:szCs w:val="21"/>
              </w:rPr>
            </w:pPr>
          </w:p>
        </w:tc>
        <w:tc>
          <w:tcPr>
            <w:tcW w:w="520" w:type="pct"/>
            <w:vMerge w:val="continue"/>
            <w:vAlign w:val="center"/>
          </w:tcPr>
          <w:p>
            <w:pPr>
              <w:widowControl/>
              <w:jc w:val="left"/>
              <w:rPr>
                <w:rFonts w:ascii="宋体" w:hAnsi="宋体" w:cs="宋体"/>
                <w:b/>
                <w:bCs/>
                <w:color w:val="auto"/>
                <w:kern w:val="0"/>
                <w:sz w:val="21"/>
                <w:szCs w:val="21"/>
              </w:rPr>
            </w:pPr>
          </w:p>
        </w:tc>
        <w:tc>
          <w:tcPr>
            <w:tcW w:w="438" w:type="pct"/>
            <w:vMerge w:val="continue"/>
            <w:vAlign w:val="center"/>
          </w:tcPr>
          <w:p>
            <w:pPr>
              <w:widowControl/>
              <w:jc w:val="left"/>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79"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一、设备部分</w:t>
            </w:r>
          </w:p>
        </w:tc>
        <w:tc>
          <w:tcPr>
            <w:tcW w:w="520"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边台</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钢木结构，柜体为1.0mm厚冷轧钢板，表面喷涂环氧树脂粉末，12.7±0.3mmmm厚佰净实芯理化板台面，防酸防碱。尺寸：2250*750*820</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PP水槽及三口水龙头</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瓷质铜芯实验室专用三口水龙头，PP一体成型水槽。Ssan-21304</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组</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79"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二、装饰部分</w:t>
            </w:r>
          </w:p>
        </w:tc>
        <w:tc>
          <w:tcPr>
            <w:tcW w:w="520"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塑料卷材楼地面</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面层材料品种、规格、品牌、颜色:3mm厚自流平基层处理地面；2mm厚同质透心PVC塑胶卷材地板地面（选样），防静电，专用粘结剂粘贴，同材料焊条焊缝。</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吊顶天棚</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1、机制硫氧镁夹芯彩钢板吊顶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2、材质：钢板（冷轧热镀锌）厚度0.5mm，硫氧镁夹芯板厚度R50</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隔墙</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1、钢板（冷轧热镀锌）厚度0.5mm，岩棉夹芯板厚度R50，岩棉容重100kg/m。</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50槽铝</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内圆弧</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1、铝板厚度0.8mm，配塑料底条</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外圆柱</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25角铝</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大T梁</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医院专用帘</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窗帘隔断5.2*2.7</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双密封净化门安装：1500*2100</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双密封净化门安装：1000*2100</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79"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三、电气部分</w:t>
            </w:r>
          </w:p>
        </w:tc>
        <w:tc>
          <w:tcPr>
            <w:tcW w:w="520"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JDG20</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JDG25</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NH-BV-2.5mm</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BV-4mm2</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YJV-5*6（含电缆头制作安装）</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跷板暗开关单控安装 单联</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跷板暗开关双控安装 单联</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单相带接地五孔暗插座电流（A）≤16</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接线盒</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暗装86型接线盒</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30W</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40W</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换气扇</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300风量</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等离子消毒</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等离子除菌过滤</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插座箱</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1、插座箱安装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74"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2604"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1、楼层照明配电箱安装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2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bl>
    <w:p>
      <w:pPr>
        <w:rPr>
          <w:color w:val="auto"/>
        </w:rPr>
      </w:pPr>
    </w:p>
    <w:p>
      <w:pPr>
        <w:pStyle w:val="4"/>
        <w:ind w:left="0" w:leftChars="0" w:right="63" w:firstLine="0" w:firstLineChars="0"/>
        <w:jc w:val="both"/>
        <w:rPr>
          <w:rFonts w:hint="eastAsia" w:ascii="宋体" w:hAnsi="宋体" w:cs="宋体"/>
          <w:bCs/>
          <w:color w:val="auto"/>
          <w:sz w:val="21"/>
          <w:szCs w:val="21"/>
        </w:rPr>
      </w:pPr>
      <w:r>
        <w:rPr>
          <w:rFonts w:hint="eastAsia" w:ascii="宋体" w:hAnsi="宋体" w:cs="宋体"/>
          <w:bCs/>
          <w:color w:val="auto"/>
          <w:sz w:val="21"/>
          <w:szCs w:val="21"/>
        </w:rPr>
        <w:t>5.2善琏卫生院参考清单</w:t>
      </w:r>
    </w:p>
    <w:p>
      <w:pPr>
        <w:pStyle w:val="5"/>
        <w:ind w:left="0" w:leftChars="0"/>
        <w:rPr>
          <w:rFonts w:hint="eastAsia"/>
          <w:b/>
          <w:color w:val="auto"/>
        </w:rPr>
      </w:pPr>
      <w:r>
        <w:rPr>
          <w:rFonts w:hint="eastAsia"/>
          <w:b/>
          <w:color w:val="auto"/>
        </w:rPr>
        <w:t>5.2.1善琏检验科</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80"/>
        <w:gridCol w:w="5596"/>
        <w:gridCol w:w="109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62"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序  号              </w:t>
            </w:r>
          </w:p>
        </w:tc>
        <w:tc>
          <w:tcPr>
            <w:tcW w:w="1067"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名称           </w:t>
            </w:r>
          </w:p>
        </w:tc>
        <w:tc>
          <w:tcPr>
            <w:tcW w:w="2618"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规格型号/技术描述                                   </w:t>
            </w:r>
          </w:p>
        </w:tc>
        <w:tc>
          <w:tcPr>
            <w:tcW w:w="513"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单位             </w:t>
            </w:r>
          </w:p>
        </w:tc>
        <w:tc>
          <w:tcPr>
            <w:tcW w:w="438"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62" w:type="pct"/>
            <w:vMerge w:val="continue"/>
            <w:vAlign w:val="center"/>
          </w:tcPr>
          <w:p>
            <w:pPr>
              <w:widowControl/>
              <w:jc w:val="left"/>
              <w:rPr>
                <w:rFonts w:ascii="宋体" w:hAnsi="宋体" w:cs="宋体"/>
                <w:b/>
                <w:bCs/>
                <w:color w:val="auto"/>
                <w:kern w:val="0"/>
                <w:sz w:val="21"/>
                <w:szCs w:val="21"/>
              </w:rPr>
            </w:pPr>
          </w:p>
        </w:tc>
        <w:tc>
          <w:tcPr>
            <w:tcW w:w="1067" w:type="pct"/>
            <w:vMerge w:val="continue"/>
            <w:vAlign w:val="center"/>
          </w:tcPr>
          <w:p>
            <w:pPr>
              <w:widowControl/>
              <w:jc w:val="left"/>
              <w:rPr>
                <w:rFonts w:ascii="宋体" w:hAnsi="宋体" w:cs="宋体"/>
                <w:b/>
                <w:bCs/>
                <w:color w:val="auto"/>
                <w:kern w:val="0"/>
                <w:sz w:val="21"/>
                <w:szCs w:val="21"/>
              </w:rPr>
            </w:pPr>
          </w:p>
        </w:tc>
        <w:tc>
          <w:tcPr>
            <w:tcW w:w="2618" w:type="pct"/>
            <w:vMerge w:val="continue"/>
            <w:vAlign w:val="center"/>
          </w:tcPr>
          <w:p>
            <w:pPr>
              <w:widowControl/>
              <w:jc w:val="left"/>
              <w:rPr>
                <w:rFonts w:ascii="宋体" w:hAnsi="宋体" w:cs="宋体"/>
                <w:b/>
                <w:bCs/>
                <w:color w:val="auto"/>
                <w:kern w:val="0"/>
                <w:sz w:val="21"/>
                <w:szCs w:val="21"/>
              </w:rPr>
            </w:pPr>
          </w:p>
        </w:tc>
        <w:tc>
          <w:tcPr>
            <w:tcW w:w="513" w:type="pct"/>
            <w:vMerge w:val="continue"/>
            <w:vAlign w:val="center"/>
          </w:tcPr>
          <w:p>
            <w:pPr>
              <w:widowControl/>
              <w:jc w:val="left"/>
              <w:rPr>
                <w:rFonts w:ascii="宋体" w:hAnsi="宋体" w:cs="宋体"/>
                <w:b/>
                <w:bCs/>
                <w:color w:val="auto"/>
                <w:kern w:val="0"/>
                <w:sz w:val="21"/>
                <w:szCs w:val="21"/>
              </w:rPr>
            </w:pPr>
          </w:p>
        </w:tc>
        <w:tc>
          <w:tcPr>
            <w:tcW w:w="438" w:type="pct"/>
            <w:vMerge w:val="continue"/>
            <w:vAlign w:val="center"/>
          </w:tcPr>
          <w:p>
            <w:pPr>
              <w:widowControl/>
              <w:jc w:val="left"/>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一、设备部分</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中央台</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钢木结构，柜体为1.0mm厚冷轧钢板，表面喷涂环氧树脂粉末，12.7±0.3mmmm厚佰净实芯理化板台面，防酸防碱。尺寸：4000*1500*820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边台</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钢木结构，柜体为1.0mm厚冷轧钢板，表面喷涂环氧树脂粉末，12.7±0.3mmmm厚佰净实芯理化板台面，防酸防碱。尺寸：1800*750*820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边台</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钢木结构，柜体为1.0mm厚冷轧钢板，表面喷涂环氧树脂粉末，12.7±0.3mmmm厚佰净实芯理化板台面，防酸防碱。尺寸：5700*750*820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岛式插座</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钢制底盒，威斯堡万用二、三插，尺寸：220V 10A</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7" w:type="pct"/>
            <w:tcBorders>
              <w:bottom w:val="single" w:color="auto" w:sz="4" w:space="0"/>
            </w:tcBorders>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PP水槽及三口水龙头</w:t>
            </w:r>
          </w:p>
        </w:tc>
        <w:tc>
          <w:tcPr>
            <w:tcW w:w="2618" w:type="pct"/>
            <w:tcBorders>
              <w:bottom w:val="single" w:color="auto" w:sz="4" w:space="0"/>
            </w:tcBorders>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瓷质铜芯实验室专用三口水龙头，PP一体成型水槽。Ssan-21304</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组</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1067" w:type="pct"/>
            <w:tcBorders>
              <w:right w:val="nil"/>
            </w:tcBorders>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二、装饰部分</w:t>
            </w:r>
          </w:p>
        </w:tc>
        <w:tc>
          <w:tcPr>
            <w:tcW w:w="2618" w:type="pct"/>
            <w:tcBorders>
              <w:left w:val="nil"/>
            </w:tcBorders>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采血窗口</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专业厂家定制</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塑料卷材楼地面</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面层材料品种、规格、品牌、颜色:3mm厚自流平基层处理地面；2mm厚同质透心PVC塑胶卷材地板地面（选样），防静电，专用粘结剂粘贴，同材料焊条焊缝。</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吊顶天棚</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1、机制硫氧镁夹芯彩钢板吊顶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2、材质：钢板（冷轧热镀锌）厚度0.5mm，硫氧镁夹芯板厚度R50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隔墙</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1、钢板（冷轧热镀锌）厚度0.5mm，岩棉夹芯板厚度R50，岩棉容重100kg/m。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50槽铝</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内圆弧</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1、铝板厚度0.8mm，配塑料底条</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外圆柱</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25角铝</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大T梁</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双密封净化门安装：1000*2100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金属（塑钢、断桥）窗</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1、紫外灭菌传递窗安装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2、600*600*600机械联锁，带紫外杀菌灯</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三、电气部分</w:t>
            </w:r>
          </w:p>
        </w:tc>
        <w:tc>
          <w:tcPr>
            <w:tcW w:w="513"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JDG25</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NH-BV-2.5mm</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BV-4mm2</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YJV-5*4（含电缆头制作安装）</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YJV-5*6（含电缆头制作安装）</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跷板暗开关单控安装 单联</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单相带接地五孔暗插座电流（A）≤16</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接线盒</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暗装86型接线盒</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30W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40W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应急洁净灯安装 40W</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换气扇</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风量300</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等离子消毒</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等离子除菌过滤</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插座箱</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1、插座箱安装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067"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2618"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1、楼层照明配电箱安装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13"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bl>
    <w:p>
      <w:pPr>
        <w:pStyle w:val="5"/>
        <w:ind w:left="0" w:leftChars="0"/>
        <w:rPr>
          <w:rFonts w:hint="eastAsia"/>
          <w:b/>
          <w:color w:val="auto"/>
          <w:sz w:val="21"/>
          <w:szCs w:val="21"/>
        </w:rPr>
      </w:pPr>
      <w:r>
        <w:rPr>
          <w:rFonts w:hint="eastAsia"/>
          <w:b/>
          <w:color w:val="auto"/>
          <w:sz w:val="21"/>
          <w:szCs w:val="21"/>
        </w:rPr>
        <w:t>5.2.2善琏手术室</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265"/>
        <w:gridCol w:w="5612"/>
        <w:gridCol w:w="10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69"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序  号              </w:t>
            </w:r>
          </w:p>
        </w:tc>
        <w:tc>
          <w:tcPr>
            <w:tcW w:w="1060"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名称           </w:t>
            </w:r>
          </w:p>
        </w:tc>
        <w:tc>
          <w:tcPr>
            <w:tcW w:w="2625"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规格型号/技术描述                                   </w:t>
            </w:r>
          </w:p>
        </w:tc>
        <w:tc>
          <w:tcPr>
            <w:tcW w:w="505"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单位             </w:t>
            </w:r>
          </w:p>
        </w:tc>
        <w:tc>
          <w:tcPr>
            <w:tcW w:w="438" w:type="pct"/>
            <w:vMerge w:val="restar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9" w:type="pct"/>
            <w:vMerge w:val="continue"/>
            <w:vAlign w:val="center"/>
          </w:tcPr>
          <w:p>
            <w:pPr>
              <w:widowControl/>
              <w:jc w:val="left"/>
              <w:rPr>
                <w:rFonts w:ascii="宋体" w:hAnsi="宋体" w:cs="宋体"/>
                <w:b/>
                <w:bCs/>
                <w:color w:val="auto"/>
                <w:kern w:val="0"/>
                <w:sz w:val="21"/>
                <w:szCs w:val="21"/>
              </w:rPr>
            </w:pPr>
          </w:p>
        </w:tc>
        <w:tc>
          <w:tcPr>
            <w:tcW w:w="1060" w:type="pct"/>
            <w:vMerge w:val="continue"/>
            <w:vAlign w:val="center"/>
          </w:tcPr>
          <w:p>
            <w:pPr>
              <w:widowControl/>
              <w:jc w:val="left"/>
              <w:rPr>
                <w:rFonts w:ascii="宋体" w:hAnsi="宋体" w:cs="宋体"/>
                <w:b/>
                <w:bCs/>
                <w:color w:val="auto"/>
                <w:kern w:val="0"/>
                <w:sz w:val="21"/>
                <w:szCs w:val="21"/>
              </w:rPr>
            </w:pPr>
          </w:p>
        </w:tc>
        <w:tc>
          <w:tcPr>
            <w:tcW w:w="2625" w:type="pct"/>
            <w:vMerge w:val="continue"/>
            <w:vAlign w:val="center"/>
          </w:tcPr>
          <w:p>
            <w:pPr>
              <w:widowControl/>
              <w:jc w:val="left"/>
              <w:rPr>
                <w:rFonts w:ascii="宋体" w:hAnsi="宋体" w:cs="宋体"/>
                <w:b/>
                <w:bCs/>
                <w:color w:val="auto"/>
                <w:kern w:val="0"/>
                <w:sz w:val="21"/>
                <w:szCs w:val="21"/>
              </w:rPr>
            </w:pPr>
          </w:p>
        </w:tc>
        <w:tc>
          <w:tcPr>
            <w:tcW w:w="505" w:type="pct"/>
            <w:vMerge w:val="continue"/>
            <w:vAlign w:val="center"/>
          </w:tcPr>
          <w:p>
            <w:pPr>
              <w:widowControl/>
              <w:jc w:val="left"/>
              <w:rPr>
                <w:rFonts w:ascii="宋体" w:hAnsi="宋体" w:cs="宋体"/>
                <w:b/>
                <w:bCs/>
                <w:color w:val="auto"/>
                <w:kern w:val="0"/>
                <w:sz w:val="21"/>
                <w:szCs w:val="21"/>
              </w:rPr>
            </w:pPr>
          </w:p>
        </w:tc>
        <w:tc>
          <w:tcPr>
            <w:tcW w:w="438" w:type="pct"/>
            <w:vMerge w:val="continue"/>
            <w:vAlign w:val="center"/>
          </w:tcPr>
          <w:p>
            <w:pPr>
              <w:widowControl/>
              <w:jc w:val="left"/>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9"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一、设备部分</w:t>
            </w:r>
          </w:p>
        </w:tc>
        <w:tc>
          <w:tcPr>
            <w:tcW w:w="505"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亚光不锈钢麻醉柜</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900mmW*1300mmH*300mmD，304不锈钢制作</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亚光不锈钢器械柜</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900mmW*1300mmH*300mmD，304不锈钢制作</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亚光不锈钢药品柜</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900mmW*1300mmH*300mmD，304不锈钢制作</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不锈钢边框看片箱</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900mmW*500mmH*120mmD，四联、照度大于3000lx，节能灯管，304不锈钢饰面</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亚光不锈钢书写板</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700mm*400mm*200mm，304不锈钢制作</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气体面板</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双氧双吸</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不锈钢电源插座箱</w:t>
            </w:r>
          </w:p>
        </w:tc>
        <w:tc>
          <w:tcPr>
            <w:tcW w:w="26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250V-10A,五孔插座、250V016A 三孔插座</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不锈钢感应洗手池</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304不锈钢制作带热水器</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控制面板</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304不锈钢边框，700mm*500mm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9"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二、装饰部分</w:t>
            </w:r>
          </w:p>
        </w:tc>
        <w:tc>
          <w:tcPr>
            <w:tcW w:w="505"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塑料卷材楼地面</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面层材料品种、规格、品牌、颜色:3mm厚自流平基层处理地面；2mm厚同质透心PVC塑胶卷材地板地面（选样），防静电，专用粘结剂粘贴，同材料焊条焊缝。</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吊顶天棚</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1、机制硫氧镁夹芯彩钢板吊顶</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2、材质：钢板（冷轧热镀锌）厚度0.5mm，硫氧镁夹芯板厚度R50</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隔墙</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1、钢板（冷轧热镀锌）厚度0.5mm，岩棉夹芯板厚度R50，岩棉容重100kg/m。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圆弧</w:t>
            </w:r>
          </w:p>
        </w:tc>
        <w:tc>
          <w:tcPr>
            <w:tcW w:w="26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喷塑制作，翻边22，R200，反面采用B1级橡塑保温处理</w:t>
            </w:r>
          </w:p>
        </w:tc>
        <w:tc>
          <w:tcPr>
            <w:tcW w:w="50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1/8圆球</w:t>
            </w:r>
          </w:p>
        </w:tc>
        <w:tc>
          <w:tcPr>
            <w:tcW w:w="26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2T铝板 ,R200喷塑，反面采用B1级橡塑保温处理</w:t>
            </w:r>
          </w:p>
        </w:tc>
        <w:tc>
          <w:tcPr>
            <w:tcW w:w="50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50槽铝</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内圆弧</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1、铝板厚度0.8mm，配塑料底条</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外圆柱</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1、铝板厚度0.8mm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25角铝</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大T梁</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1、铝板厚度1.2mm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双密封净化门安装：1500*2100</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双密封净化门</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双密封净化门安装：1000*2100</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樘</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电动门</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1500mm*2100mm感应门，带600mm×400mm观察窗，开门有感应、电动和手动；采用脚感装置，带有延时关闭功能，有应急手动开门功能，防夹、防撞；</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扇</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6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密码刷卡器</w:t>
            </w:r>
          </w:p>
        </w:tc>
        <w:tc>
          <w:tcPr>
            <w:tcW w:w="26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门禁系统（电动门上专用）</w:t>
            </w:r>
          </w:p>
        </w:tc>
        <w:tc>
          <w:tcPr>
            <w:tcW w:w="50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9"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三、空调部分</w:t>
            </w:r>
          </w:p>
        </w:tc>
        <w:tc>
          <w:tcPr>
            <w:tcW w:w="505"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MDV-D28T2/DN1-C3(B)</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MDV-D56T2/DN1-C3(B)</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风管室内机</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MDV-D90T2/DN1-C(B)</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多联机变频室外机</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MDV-400W/D2SN1-8X（I）</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新风预处理机组</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净化新风机组风量2000 冷量14.5KW</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排风机组</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排风机组风量500，带初中效过滤网</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镀锌风管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新风专用管道</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m2</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铜管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分歧管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冷凝水管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PVC</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铝及铝合金风口、散流器</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出风口安装：定制</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铝及铝合金风口、散流器</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回风口安装：定制</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防雨百叶</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非标定制带防虫网</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线控器</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控制线敷设</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控制器接线插线管</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送回风口管道</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聚氨酯管道安装</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机械吊装</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机械开槽/钻孔</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项</w:t>
            </w:r>
          </w:p>
        </w:tc>
        <w:tc>
          <w:tcPr>
            <w:tcW w:w="43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9"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86" w:type="pct"/>
            <w:gridSpan w:val="2"/>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四、电气部分</w:t>
            </w:r>
          </w:p>
        </w:tc>
        <w:tc>
          <w:tcPr>
            <w:tcW w:w="505"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38" w:type="pct"/>
            <w:shd w:val="clear" w:color="auto" w:fill="auto"/>
            <w:noWrap/>
            <w:vAlign w:val="center"/>
          </w:tcPr>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JDG20</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配管</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砖、混凝土结构暗配电线管 JDG25</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NH-BV-2.5mm</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配线</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铜芯导线截面  BV-4mm2</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YJV-5*4（含电缆头制作安装）</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YJV-5*6（含电缆头制作安装）</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电力电缆</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铜芯电力电缆敷设 电缆 YJV-3*35+2*16（含电缆头制作安装）</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m</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跷板暗开关单控安装 单联</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照明开关</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跷板暗开关双控安装 单联</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插座</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单相带接地五孔暗插座电流（A）≤16</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地插</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防水地插</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接线盒</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暗装86型接线盒</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30W</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洁净灯安装 40W</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医疗专用灯</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应急洁净灯安装 40W</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紫外线消毒灯</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医用紫外线消毒灯</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换气扇</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风量300</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等离子消毒</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等离子除菌过滤</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手术室专用插座箱</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1、插座箱安装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配电箱</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1、楼层照明配电箱安装</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2、主要元器件详见施工图</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1060"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总配电箱</w:t>
            </w:r>
          </w:p>
        </w:tc>
        <w:tc>
          <w:tcPr>
            <w:tcW w:w="2625" w:type="pct"/>
            <w:shd w:val="clear" w:color="000000" w:fill="FFFFFF"/>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1.名称:成套配电箱（含所有元器件）安装 2.技术要求详见系统</w:t>
            </w:r>
          </w:p>
        </w:tc>
        <w:tc>
          <w:tcPr>
            <w:tcW w:w="505"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438" w:type="pct"/>
            <w:shd w:val="clear" w:color="000000"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bl>
    <w:p>
      <w:pPr>
        <w:autoSpaceDE w:val="0"/>
        <w:autoSpaceDN w:val="0"/>
        <w:adjustRightInd w:val="0"/>
        <w:jc w:val="left"/>
        <w:rPr>
          <w:rFonts w:ascii="宋体" w:hAnsi="宋体" w:cs="TimesNewRomanPSMT"/>
          <w:color w:val="auto"/>
          <w:kern w:val="0"/>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cs="黑体"/>
          <w:b/>
          <w:color w:val="auto"/>
          <w:kern w:val="0"/>
          <w:sz w:val="21"/>
          <w:szCs w:val="21"/>
        </w:rPr>
      </w:pPr>
      <w:r>
        <w:rPr>
          <w:rFonts w:hint="eastAsia" w:ascii="宋体" w:hAnsi="宋体" w:cs="黑体"/>
          <w:b/>
          <w:color w:val="auto"/>
          <w:kern w:val="0"/>
          <w:sz w:val="21"/>
          <w:szCs w:val="21"/>
        </w:rPr>
        <w:t>6.旧馆善琏检验科、手术室设备技术要求</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b/>
          <w:bCs w:val="0"/>
          <w:color w:val="auto"/>
          <w:kern w:val="0"/>
          <w:sz w:val="21"/>
          <w:szCs w:val="21"/>
        </w:rPr>
      </w:pPr>
      <w:r>
        <w:rPr>
          <w:rFonts w:hint="eastAsia" w:ascii="宋体" w:hAnsi="宋体" w:cs="黑体"/>
          <w:b/>
          <w:bCs w:val="0"/>
          <w:color w:val="auto"/>
          <w:kern w:val="0"/>
          <w:sz w:val="21"/>
          <w:szCs w:val="21"/>
        </w:rPr>
        <w:t>一.实验台面</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bCs/>
          <w:color w:val="auto"/>
          <w:kern w:val="0"/>
          <w:sz w:val="21"/>
          <w:szCs w:val="21"/>
        </w:rPr>
      </w:pPr>
      <w:r>
        <w:rPr>
          <w:rFonts w:hint="eastAsia" w:ascii="宋体" w:hAnsi="宋体" w:cs="黑体"/>
          <w:bCs/>
          <w:color w:val="auto"/>
          <w:kern w:val="0"/>
          <w:sz w:val="21"/>
          <w:szCs w:val="21"/>
        </w:rPr>
        <w:t>采用国内知名品牌13.0mm厚实芯双面理化膜优抗板台面，台面边缘用同质材料板双层加厚至26.0mm，由专业生产厂家用CNC机械加工而成。为了确保使用者的健康安全，产品需通过国家化学建材质量监督检验中心、SGS等知名检测机构检测，各项性能满足或高于如下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化学性能</w:t>
      </w:r>
      <w:r>
        <w:rPr>
          <w:rFonts w:hint="eastAsia" w:ascii="宋体" w:hAnsi="宋体" w:eastAsia="宋体" w:cs="宋体"/>
          <w:color w:val="auto"/>
          <w:sz w:val="21"/>
          <w:szCs w:val="21"/>
          <w:highlight w:val="none"/>
          <w:lang w:val="en-US" w:eastAsia="zh-CN"/>
        </w:rPr>
        <w:t>--台</w:t>
      </w:r>
      <w:r>
        <w:rPr>
          <w:rFonts w:hint="eastAsia" w:ascii="宋体" w:hAnsi="宋体" w:eastAsia="宋体" w:cs="宋体"/>
          <w:color w:val="auto"/>
          <w:sz w:val="21"/>
          <w:szCs w:val="21"/>
          <w:highlight w:val="none"/>
        </w:rPr>
        <w:t>面板</w:t>
      </w:r>
      <w:r>
        <w:rPr>
          <w:rFonts w:hint="eastAsia" w:ascii="宋体" w:hAnsi="宋体" w:eastAsia="宋体" w:cs="宋体"/>
          <w:color w:val="auto"/>
          <w:sz w:val="21"/>
          <w:szCs w:val="21"/>
          <w:highlight w:val="none"/>
          <w:lang w:val="en-US" w:eastAsia="zh-CN"/>
        </w:rPr>
        <w:t>材正反两面需经过</w:t>
      </w:r>
      <w:r>
        <w:rPr>
          <w:rFonts w:hint="eastAsia" w:ascii="宋体" w:hAnsi="宋体" w:eastAsia="宋体" w:cs="宋体"/>
          <w:color w:val="auto"/>
          <w:sz w:val="21"/>
          <w:szCs w:val="21"/>
          <w:highlight w:val="none"/>
        </w:rPr>
        <w:t>国家级</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rPr>
        <w:t>部门参照GB/T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657-2013人造板及饰面人造板理化性能试验办法(4.41表面耐污染性能测定一方法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中室温24h测试条件)加盖玻</w:t>
      </w:r>
      <w:r>
        <w:rPr>
          <w:rFonts w:hint="eastAsia" w:ascii="宋体" w:hAnsi="宋体" w:eastAsia="宋体" w:cs="宋体"/>
          <w:color w:val="auto"/>
          <w:sz w:val="21"/>
          <w:szCs w:val="21"/>
          <w:highlight w:val="none"/>
          <w:lang w:val="en-US" w:eastAsia="zh-CN"/>
        </w:rPr>
        <w:t>片与</w:t>
      </w:r>
      <w:r>
        <w:rPr>
          <w:rFonts w:hint="eastAsia" w:ascii="宋体" w:hAnsi="宋体" w:eastAsia="宋体" w:cs="宋体"/>
          <w:color w:val="auto"/>
          <w:sz w:val="21"/>
          <w:szCs w:val="21"/>
          <w:highlight w:val="none"/>
        </w:rPr>
        <w:t>不加盖玻片进行</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b/>
          <w:bCs/>
          <w:color w:val="auto"/>
          <w:sz w:val="21"/>
          <w:szCs w:val="21"/>
          <w:highlight w:val="none"/>
          <w:lang w:val="en-US" w:eastAsia="zh-CN"/>
        </w:rPr>
        <w:t>108</w:t>
      </w:r>
      <w:r>
        <w:rPr>
          <w:rFonts w:hint="eastAsia" w:ascii="宋体" w:hAnsi="宋体" w:eastAsia="宋体" w:cs="宋体"/>
          <w:color w:val="auto"/>
          <w:sz w:val="21"/>
          <w:szCs w:val="21"/>
          <w:highlight w:val="none"/>
        </w:rPr>
        <w:t>项化学试剂</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有机溶液检测</w:t>
      </w:r>
      <w:r>
        <w:rPr>
          <w:rFonts w:hint="eastAsia" w:ascii="宋体" w:hAnsi="宋体" w:eastAsia="宋体" w:cs="宋体"/>
          <w:color w:val="auto"/>
          <w:sz w:val="21"/>
          <w:szCs w:val="21"/>
          <w:highlight w:val="none"/>
          <w:lang w:eastAsia="zh-CN"/>
        </w:rPr>
        <w:t>，硫酸（98%）、氢氟酸（48%）王水、铬酸、高锰酸钾（10%）、等</w:t>
      </w:r>
      <w:r>
        <w:rPr>
          <w:rFonts w:hint="eastAsia" w:ascii="宋体" w:hAnsi="宋体" w:eastAsia="宋体" w:cs="宋体"/>
          <w:color w:val="auto"/>
          <w:sz w:val="21"/>
          <w:szCs w:val="21"/>
          <w:highlight w:val="none"/>
        </w:rPr>
        <w:t>检验结果均为无明显变化，分级结果为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环保性能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台面甲醛释放量检测达到国家标准(GB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18580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)E1级的技术指标要求，</w:t>
      </w:r>
      <w:r>
        <w:rPr>
          <w:rFonts w:hint="eastAsia" w:ascii="宋体" w:hAnsi="宋体" w:eastAsia="宋体" w:cs="宋体"/>
          <w:color w:val="auto"/>
          <w:sz w:val="21"/>
          <w:szCs w:val="21"/>
          <w:highlight w:val="none"/>
          <w:lang w:eastAsia="zh-CN"/>
        </w:rPr>
        <w:t>检测结果为合格，</w:t>
      </w:r>
      <w:r>
        <w:rPr>
          <w:rFonts w:hint="eastAsia" w:ascii="宋体" w:hAnsi="宋体" w:eastAsia="宋体" w:cs="宋体"/>
          <w:color w:val="auto"/>
          <w:sz w:val="21"/>
          <w:szCs w:val="21"/>
          <w:highlight w:val="none"/>
        </w:rPr>
        <w:t>甲醛</w:t>
      </w:r>
      <w:r>
        <w:rPr>
          <w:rFonts w:hint="eastAsia" w:ascii="宋体" w:hAnsi="宋体" w:eastAsia="宋体" w:cs="宋体"/>
          <w:color w:val="auto"/>
          <w:sz w:val="21"/>
          <w:szCs w:val="21"/>
          <w:highlight w:val="none"/>
          <w:lang w:eastAsia="zh-CN"/>
        </w:rPr>
        <w:t>释放</w:t>
      </w:r>
      <w:r>
        <w:rPr>
          <w:rFonts w:hint="eastAsia" w:ascii="宋体" w:hAnsi="宋体" w:eastAsia="宋体" w:cs="宋体"/>
          <w:color w:val="auto"/>
          <w:sz w:val="21"/>
          <w:szCs w:val="21"/>
          <w:highlight w:val="none"/>
        </w:rPr>
        <w:t>放量检测结果值</w:t>
      </w:r>
      <w:r>
        <w:rPr>
          <w:rFonts w:hint="eastAsia" w:ascii="宋体" w:hAnsi="宋体" w:eastAsia="宋体" w:cs="宋体"/>
          <w:color w:val="auto"/>
          <w:sz w:val="21"/>
          <w:szCs w:val="21"/>
          <w:highlight w:val="none"/>
          <w:lang w:val="en-US" w:eastAsia="zh-CN"/>
        </w:rPr>
        <w:t>小于</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rPr>
        <w:t>mg/</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物理性能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按照</w:t>
      </w:r>
      <w:r>
        <w:rPr>
          <w:rFonts w:hint="eastAsia" w:ascii="宋体" w:hAnsi="宋体" w:eastAsia="宋体" w:cs="宋体"/>
          <w:color w:val="auto"/>
          <w:sz w:val="21"/>
          <w:szCs w:val="21"/>
          <w:highlight w:val="none"/>
          <w:lang w:val="en-US" w:eastAsia="zh-CN"/>
        </w:rPr>
        <w:t xml:space="preserve"> GB/T 17657-2013的标准及相关的检测</w:t>
      </w:r>
      <w:r>
        <w:rPr>
          <w:rFonts w:hint="eastAsia" w:ascii="宋体" w:hAnsi="宋体" w:eastAsia="宋体" w:cs="宋体"/>
          <w:color w:val="auto"/>
          <w:sz w:val="21"/>
          <w:szCs w:val="21"/>
          <w:highlight w:val="none"/>
          <w:lang w:eastAsia="zh-CN"/>
        </w:rPr>
        <w:t>方法</w:t>
      </w:r>
      <w:r>
        <w:rPr>
          <w:rFonts w:hint="eastAsia" w:ascii="宋体" w:hAnsi="宋体" w:eastAsia="宋体" w:cs="宋体"/>
          <w:color w:val="auto"/>
          <w:sz w:val="21"/>
          <w:szCs w:val="21"/>
          <w:highlight w:val="none"/>
          <w:lang w:val="en-US" w:eastAsia="zh-CN"/>
        </w:rPr>
        <w:t>进行不少于</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检测，结果为：</w:t>
      </w:r>
      <w:r>
        <w:rPr>
          <w:rFonts w:hint="eastAsia" w:ascii="宋体" w:hAnsi="宋体" w:eastAsia="宋体" w:cs="宋体"/>
          <w:color w:val="auto"/>
          <w:sz w:val="21"/>
          <w:szCs w:val="21"/>
          <w:highlight w:val="none"/>
          <w:lang w:val="en-US" w:eastAsia="zh-CN"/>
        </w:rPr>
        <w:t>密度≥1.39g/㎝³，24h吸水率≤0.1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静曲强度大于135MPa，弹性模量≥10320MPa,顺纹抗压强度大于206MPa，表面耐水蒸气性能 5级 无变化，漆膜硬度：＞9H；</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黑体"/>
          <w:color w:val="auto"/>
          <w:kern w:val="0"/>
          <w:sz w:val="21"/>
          <w:szCs w:val="21"/>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防霉性能：霉菌生长情况0级，抗菌性：不少于11种的菌种检测结果抗菌率&gt;99.9%；</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具有甲醛及三聚氰胺迁移检测报告，结果为未检出；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经SEFA8-M-2016之 8.1条款49项化学试剂检测，评级结果为0级-无可见变化；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r>
        <w:rPr>
          <w:rFonts w:hint="eastAsia" w:ascii="宋体" w:hAnsi="宋体" w:eastAsia="宋体" w:cs="宋体"/>
          <w:b w:val="0"/>
          <w:bCs w:val="0"/>
          <w:color w:val="auto"/>
          <w:sz w:val="21"/>
          <w:szCs w:val="21"/>
          <w:highlight w:val="none"/>
          <w:vertAlign w:val="baseline"/>
          <w:lang w:val="en-US" w:eastAsia="zh-CN"/>
        </w:rPr>
        <w:t>用ATLAS氙灯老化试验机根据GB/T16422.2-2014标准在满足两种条件的情况下进行1450小时以上氙灯抗老化耐候测试，结果为5级，无明显变化。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r>
        <w:rPr>
          <w:rFonts w:hint="eastAsia" w:ascii="宋体" w:hAnsi="宋体" w:eastAsia="宋体" w:cs="宋体"/>
          <w:b w:val="0"/>
          <w:bCs w:val="0"/>
          <w:color w:val="auto"/>
          <w:sz w:val="21"/>
          <w:szCs w:val="21"/>
          <w:highlight w:val="none"/>
          <w:vertAlign w:val="baseline"/>
          <w:lang w:val="en-US" w:eastAsia="zh-CN"/>
        </w:rPr>
        <w:t>参照US EPA3540C：1996方法，采用GC-MS设备对不少于39项邻苯二甲酸脂进行检测，结果为未检出；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r>
        <w:rPr>
          <w:rFonts w:hint="eastAsia" w:ascii="宋体" w:hAnsi="宋体" w:eastAsia="宋体" w:cs="宋体"/>
          <w:b w:val="0"/>
          <w:bCs w:val="0"/>
          <w:color w:val="auto"/>
          <w:sz w:val="21"/>
          <w:szCs w:val="21"/>
          <w:highlight w:val="none"/>
          <w:vertAlign w:val="baseline"/>
          <w:lang w:val="en-US" w:eastAsia="zh-CN"/>
        </w:rPr>
        <w:t>参照AfPS GS 2019:01PAK方法，采用GC-MS设备对不少于15项多环芳香烃（PAHs15)进行检测，结果为未检出；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color w:val="auto"/>
          <w:sz w:val="21"/>
          <w:szCs w:val="21"/>
          <w:highlight w:val="none"/>
        </w:rPr>
      </w:pPr>
      <w:r>
        <w:rPr>
          <w:rFonts w:hint="eastAsia" w:ascii="宋体" w:hAnsi="宋体" w:cs="黑体"/>
          <w:color w:val="auto"/>
          <w:kern w:val="0"/>
          <w:sz w:val="21"/>
          <w:szCs w:val="21"/>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根据ISO 21702：2019对H1N1、H3N2进行抗病毒活性试验，抗病毒活性率结果≥99.9%。</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b/>
          <w:bCs/>
          <w:color w:val="auto"/>
          <w:kern w:val="0"/>
          <w:sz w:val="21"/>
          <w:szCs w:val="21"/>
        </w:rPr>
      </w:pPr>
      <w:r>
        <w:rPr>
          <w:rFonts w:hint="eastAsia" w:ascii="宋体" w:hAnsi="宋体" w:cs="黑体"/>
          <w:b/>
          <w:bCs/>
          <w:color w:val="auto"/>
          <w:kern w:val="0"/>
          <w:sz w:val="21"/>
          <w:szCs w:val="21"/>
        </w:rPr>
        <w:t>二.LED洁净灯</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1.采用吸顶安装，外框采用铝合金型材，表面喷塑处理，尺寸选择1200mm×300mm×8.5 mm和600mm×300mm×8.5 mm。</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2.采用防水防尘型，灯具光源腔体部分防护等级不低于IP66，提供第三方检测报告。</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3.灯具及驱动电源应有CCC标志，提供CCC认证证书。</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★4.耐腐蚀、抗氧化，耐受乙醇、臭氧及VHP消毒等，提供第三方检测报告，透光罩选用物理性工艺板材。</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5.整灯光效≥100Lm/W，显色指数（Ra）不低于80，红饱和指数(R9) 大于0，提供CNAS检测报告。</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6.灯具统一眩光值应＜19，提供第三方检测报告。</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7.导光板采用亚克力材质，激光雕刻工艺</w:t>
      </w:r>
    </w:p>
    <w:p>
      <w:pPr>
        <w:pStyle w:val="4"/>
        <w:keepNext w:val="0"/>
        <w:keepLines w:val="0"/>
        <w:pageBreakBefore w:val="0"/>
        <w:widowControl w:val="0"/>
        <w:kinsoku/>
        <w:wordWrap/>
        <w:overflowPunct/>
        <w:topLinePunct w:val="0"/>
        <w:bidi w:val="0"/>
        <w:snapToGrid/>
        <w:spacing w:line="400" w:lineRule="exact"/>
        <w:ind w:left="0" w:leftChars="0" w:right="63" w:firstLine="0" w:firstLineChars="0"/>
        <w:jc w:val="both"/>
        <w:rPr>
          <w:rFonts w:hint="eastAsia"/>
          <w:b/>
          <w:bCs/>
          <w:color w:val="auto"/>
          <w:sz w:val="21"/>
          <w:szCs w:val="21"/>
        </w:rPr>
      </w:pPr>
      <w:r>
        <w:rPr>
          <w:rFonts w:hint="eastAsia"/>
          <w:b/>
          <w:bCs/>
          <w:color w:val="auto"/>
          <w:sz w:val="21"/>
          <w:szCs w:val="21"/>
        </w:rPr>
        <w:t>三.臭氧消毒器</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★1.全新医用电子空气消毒净化设备。要求制造商必须为专业的空气净化消毒生产企业(需提供营业执照证明)；</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2.制造商必须获得消毒产品企业卫生许可证，安全认证，投标人必须提供同卫生部认可的检验机构提供的产品检验证书，以及CE或UL认证；</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 xml:space="preserve">★3.投标产品系列必须具有全国消毒产品安全备案         </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4</w:t>
      </w:r>
      <w:r>
        <w:rPr>
          <w:rFonts w:hint="eastAsia" w:ascii="宋体" w:hAnsi="宋体" w:cs="黑体"/>
          <w:color w:val="auto"/>
          <w:kern w:val="0"/>
          <w:sz w:val="21"/>
          <w:szCs w:val="21"/>
          <w:lang w:eastAsia="zh-CN"/>
        </w:rPr>
        <w:t>.</w:t>
      </w:r>
      <w:r>
        <w:rPr>
          <w:rFonts w:hint="eastAsia" w:ascii="宋体" w:hAnsi="宋体" w:cs="黑体"/>
          <w:color w:val="auto"/>
          <w:kern w:val="0"/>
          <w:sz w:val="21"/>
          <w:szCs w:val="21"/>
        </w:rPr>
        <w:t>光氢等离子净化装置应由多波段UVP光氢管、稀有金属涂层外壁、不锈钢或铝合金灯罩组成，不得用铁制品，塑料制品，以防止腐蚀。</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5</w:t>
      </w:r>
      <w:r>
        <w:rPr>
          <w:rFonts w:hint="eastAsia" w:ascii="宋体" w:hAnsi="宋体" w:cs="黑体"/>
          <w:color w:val="auto"/>
          <w:kern w:val="0"/>
          <w:sz w:val="21"/>
          <w:szCs w:val="21"/>
          <w:lang w:eastAsia="zh-CN"/>
        </w:rPr>
        <w:t>.</w:t>
      </w:r>
      <w:r>
        <w:rPr>
          <w:rFonts w:hint="eastAsia" w:ascii="宋体" w:hAnsi="宋体" w:cs="黑体"/>
          <w:color w:val="auto"/>
          <w:kern w:val="0"/>
          <w:sz w:val="21"/>
          <w:szCs w:val="21"/>
        </w:rPr>
        <w:t>光氢等离子净化装置的净化效率应为：微生物净化效率(一次性通过净化率)≥90%，甲醛净化效率≥98%,TVOC净化效率 ≥97%，氨去除率：≥96%；白葡萄菌净化效率≥99.9％，自然菌净化效率 ≥90％，</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color w:val="auto"/>
          <w:kern w:val="0"/>
          <w:sz w:val="21"/>
          <w:szCs w:val="21"/>
        </w:rPr>
      </w:pPr>
      <w:r>
        <w:rPr>
          <w:rFonts w:hint="eastAsia" w:ascii="宋体" w:hAnsi="宋体" w:cs="黑体"/>
          <w:color w:val="auto"/>
          <w:kern w:val="0"/>
          <w:sz w:val="21"/>
          <w:szCs w:val="21"/>
        </w:rPr>
        <w:t>6</w:t>
      </w:r>
      <w:r>
        <w:rPr>
          <w:rFonts w:hint="eastAsia" w:ascii="宋体" w:hAnsi="宋体" w:cs="黑体"/>
          <w:color w:val="auto"/>
          <w:kern w:val="0"/>
          <w:sz w:val="21"/>
          <w:szCs w:val="21"/>
          <w:lang w:eastAsia="zh-CN"/>
        </w:rPr>
        <w:t>.</w:t>
      </w:r>
      <w:r>
        <w:rPr>
          <w:rFonts w:hint="eastAsia" w:ascii="宋体" w:hAnsi="宋体" w:cs="黑体"/>
          <w:color w:val="auto"/>
          <w:kern w:val="0"/>
          <w:sz w:val="21"/>
          <w:szCs w:val="21"/>
        </w:rPr>
        <w:t>空气净化消毒设备具备显示器，具有光氢灯管运行时间累积记录装置。</w:t>
      </w:r>
    </w:p>
    <w:p>
      <w:pPr>
        <w:pStyle w:val="5"/>
        <w:keepNext w:val="0"/>
        <w:keepLines w:val="0"/>
        <w:pageBreakBefore w:val="0"/>
        <w:widowControl w:val="0"/>
        <w:kinsoku/>
        <w:wordWrap/>
        <w:overflowPunct/>
        <w:topLinePunct w:val="0"/>
        <w:bidi w:val="0"/>
        <w:snapToGrid/>
        <w:spacing w:line="400" w:lineRule="exact"/>
        <w:ind w:left="0" w:leftChars="0"/>
        <w:rPr>
          <w:rFonts w:hint="eastAsia"/>
          <w:color w:val="auto"/>
          <w:sz w:val="21"/>
          <w:szCs w:val="21"/>
        </w:rPr>
      </w:pPr>
      <w:r>
        <w:rPr>
          <w:rFonts w:hint="eastAsia"/>
          <w:color w:val="auto"/>
          <w:sz w:val="21"/>
          <w:szCs w:val="21"/>
        </w:rPr>
        <w:t>7</w:t>
      </w:r>
      <w:r>
        <w:rPr>
          <w:rFonts w:hint="eastAsia"/>
          <w:color w:val="auto"/>
          <w:sz w:val="21"/>
          <w:szCs w:val="21"/>
          <w:lang w:eastAsia="zh-CN"/>
        </w:rPr>
        <w:t>.</w:t>
      </w:r>
      <w:r>
        <w:rPr>
          <w:rFonts w:hint="eastAsia"/>
          <w:color w:val="auto"/>
          <w:sz w:val="21"/>
          <w:szCs w:val="21"/>
        </w:rPr>
        <w:t>空气消毒净化设备必须具备正常运行指示功能和灯管故障报警指示功能；</w:t>
      </w: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b/>
          <w:color w:val="auto"/>
          <w:kern w:val="0"/>
          <w:sz w:val="21"/>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b/>
          <w:color w:val="auto"/>
          <w:kern w:val="0"/>
          <w:sz w:val="21"/>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cs="黑体"/>
          <w:b/>
          <w:color w:val="auto"/>
          <w:kern w:val="0"/>
          <w:sz w:val="21"/>
          <w:szCs w:val="21"/>
        </w:rPr>
      </w:pPr>
      <w:r>
        <w:rPr>
          <w:rFonts w:hint="eastAsia" w:ascii="宋体" w:hAnsi="宋体" w:cs="黑体"/>
          <w:b/>
          <w:color w:val="auto"/>
          <w:kern w:val="0"/>
          <w:sz w:val="21"/>
          <w:szCs w:val="21"/>
        </w:rPr>
        <w:t>7.施工场地图纸</w:t>
      </w:r>
    </w:p>
    <w:p>
      <w:pPr>
        <w:pStyle w:val="4"/>
        <w:ind w:left="63" w:right="63" w:firstLine="200"/>
        <w:jc w:val="both"/>
        <w:rPr>
          <w:rFonts w:hint="eastAsia" w:eastAsia="宋体"/>
          <w:color w:val="auto"/>
          <w:lang w:eastAsia="zh-CN"/>
        </w:rPr>
      </w:pPr>
      <w:r>
        <w:rPr>
          <w:rFonts w:hint="eastAsia" w:eastAsia="宋体"/>
          <w:color w:val="auto"/>
          <w:lang w:eastAsia="zh-CN"/>
        </w:rPr>
        <w:drawing>
          <wp:inline distT="0" distB="0" distL="114300" distR="114300">
            <wp:extent cx="6639560" cy="4694555"/>
            <wp:effectExtent l="0" t="0" r="8890" b="10795"/>
            <wp:docPr id="1" name="图片 1" descr="旧馆卫生院装修平面21.11.0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旧馆卫生院装修平面21.11.02_02"/>
                    <pic:cNvPicPr>
                      <a:picLocks noChangeAspect="1"/>
                    </pic:cNvPicPr>
                  </pic:nvPicPr>
                  <pic:blipFill>
                    <a:blip r:embed="rId6"/>
                    <a:stretch>
                      <a:fillRect/>
                    </a:stretch>
                  </pic:blipFill>
                  <pic:spPr>
                    <a:xfrm>
                      <a:off x="0" y="0"/>
                      <a:ext cx="6639560" cy="4694555"/>
                    </a:xfrm>
                    <a:prstGeom prst="rect">
                      <a:avLst/>
                    </a:prstGeom>
                  </pic:spPr>
                </pic:pic>
              </a:graphicData>
            </a:graphic>
          </wp:inline>
        </w:drawing>
      </w:r>
      <w:r>
        <w:rPr>
          <w:rFonts w:hint="eastAsia" w:eastAsia="宋体"/>
          <w:color w:val="auto"/>
          <w:lang w:eastAsia="zh-CN"/>
        </w:rPr>
        <w:drawing>
          <wp:inline distT="0" distB="0" distL="114300" distR="114300">
            <wp:extent cx="6639560" cy="4694555"/>
            <wp:effectExtent l="0" t="0" r="8890" b="10795"/>
            <wp:docPr id="2" name="图片 2" descr="旧馆卫生院装修平面21.11.0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旧馆卫生院装修平面21.11.02_01"/>
                    <pic:cNvPicPr>
                      <a:picLocks noChangeAspect="1"/>
                    </pic:cNvPicPr>
                  </pic:nvPicPr>
                  <pic:blipFill>
                    <a:blip r:embed="rId7"/>
                    <a:stretch>
                      <a:fillRect/>
                    </a:stretch>
                  </pic:blipFill>
                  <pic:spPr>
                    <a:xfrm>
                      <a:off x="0" y="0"/>
                      <a:ext cx="6639560" cy="4694555"/>
                    </a:xfrm>
                    <a:prstGeom prst="rect">
                      <a:avLst/>
                    </a:prstGeom>
                  </pic:spPr>
                </pic:pic>
              </a:graphicData>
            </a:graphic>
          </wp:inline>
        </w:drawing>
      </w:r>
      <w:r>
        <w:rPr>
          <w:rFonts w:hint="eastAsia" w:eastAsia="宋体"/>
          <w:color w:val="auto"/>
          <w:lang w:eastAsia="zh-CN"/>
        </w:rPr>
        <w:drawing>
          <wp:inline distT="0" distB="0" distL="114300" distR="114300">
            <wp:extent cx="6416675" cy="9074785"/>
            <wp:effectExtent l="0" t="0" r="3175" b="12065"/>
            <wp:docPr id="3" name="图片 3" descr="旧馆卫生院装修平面21.11.0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旧馆卫生院装修平面21.11.02_00"/>
                    <pic:cNvPicPr>
                      <a:picLocks noChangeAspect="1"/>
                    </pic:cNvPicPr>
                  </pic:nvPicPr>
                  <pic:blipFill>
                    <a:blip r:embed="rId8"/>
                    <a:stretch>
                      <a:fillRect/>
                    </a:stretch>
                  </pic:blipFill>
                  <pic:spPr>
                    <a:xfrm>
                      <a:off x="0" y="0"/>
                      <a:ext cx="6416675" cy="9074785"/>
                    </a:xfrm>
                    <a:prstGeom prst="rect">
                      <a:avLst/>
                    </a:prstGeom>
                  </pic:spPr>
                </pic:pic>
              </a:graphicData>
            </a:graphic>
          </wp:inline>
        </w:drawing>
      </w:r>
    </w:p>
    <w:p>
      <w:pPr>
        <w:pStyle w:val="4"/>
        <w:autoSpaceDE w:val="0"/>
        <w:autoSpaceDN w:val="0"/>
        <w:adjustRightInd w:val="0"/>
        <w:spacing w:line="360" w:lineRule="auto"/>
        <w:jc w:val="center"/>
        <w:rPr>
          <w:rFonts w:hint="eastAsia" w:ascii="宋体" w:hAnsi="宋体" w:cs="黑体"/>
          <w:b/>
          <w:color w:val="auto"/>
          <w:kern w:val="0"/>
          <w:szCs w:val="21"/>
        </w:rPr>
      </w:pPr>
      <w:r>
        <w:rPr>
          <w:rFonts w:hint="eastAsia"/>
          <w:color w:val="auto"/>
          <w:lang w:eastAsia="zh-CN"/>
        </w:rPr>
        <w:drawing>
          <wp:inline distT="0" distB="0" distL="114300" distR="114300">
            <wp:extent cx="6416675" cy="9074785"/>
            <wp:effectExtent l="0" t="0" r="3175" b="12065"/>
            <wp:docPr id="4" name="图片 4" descr="善良卫生院装修平面 21.11.0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善良卫生院装修平面 21.11.02_01"/>
                    <pic:cNvPicPr>
                      <a:picLocks noChangeAspect="1"/>
                    </pic:cNvPicPr>
                  </pic:nvPicPr>
                  <pic:blipFill>
                    <a:blip r:embed="rId9"/>
                    <a:stretch>
                      <a:fillRect/>
                    </a:stretch>
                  </pic:blipFill>
                  <pic:spPr>
                    <a:xfrm>
                      <a:off x="0" y="0"/>
                      <a:ext cx="6416675" cy="9074785"/>
                    </a:xfrm>
                    <a:prstGeom prst="rect">
                      <a:avLst/>
                    </a:prstGeom>
                  </pic:spPr>
                </pic:pic>
              </a:graphicData>
            </a:graphic>
          </wp:inline>
        </w:drawing>
      </w:r>
      <w:r>
        <w:rPr>
          <w:rFonts w:hint="eastAsia"/>
          <w:color w:val="auto"/>
          <w:lang w:eastAsia="zh-CN"/>
        </w:rPr>
        <w:drawing>
          <wp:inline distT="0" distB="0" distL="114300" distR="114300">
            <wp:extent cx="6639560" cy="4694555"/>
            <wp:effectExtent l="0" t="0" r="8890" b="10795"/>
            <wp:docPr id="5" name="图片 5" descr="善良卫生院装修平面 21.11.0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善良卫生院装修平面 21.11.02_00"/>
                    <pic:cNvPicPr>
                      <a:picLocks noChangeAspect="1"/>
                    </pic:cNvPicPr>
                  </pic:nvPicPr>
                  <pic:blipFill>
                    <a:blip r:embed="rId10"/>
                    <a:stretch>
                      <a:fillRect/>
                    </a:stretch>
                  </pic:blipFill>
                  <pic:spPr>
                    <a:xfrm>
                      <a:off x="0" y="0"/>
                      <a:ext cx="6639560" cy="4694555"/>
                    </a:xfrm>
                    <a:prstGeom prst="rect">
                      <a:avLst/>
                    </a:prstGeom>
                  </pic:spPr>
                </pic:pic>
              </a:graphicData>
            </a:graphic>
          </wp:inline>
        </w:drawing>
      </w: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3" w:name="投标文件格式"/>
      <w:r>
        <w:rPr>
          <w:rFonts w:hint="eastAsia" w:ascii="宋体" w:hAnsi="宋体" w:cs="黑体"/>
          <w:b/>
          <w:color w:val="auto"/>
          <w:kern w:val="0"/>
          <w:szCs w:val="21"/>
        </w:rPr>
        <w:t>投标文件</w:t>
      </w:r>
      <w:bookmarkEnd w:id="43"/>
      <w:r>
        <w:rPr>
          <w:rFonts w:hint="eastAsia" w:ascii="宋体" w:hAnsi="宋体" w:cs="黑体"/>
          <w:b/>
          <w:color w:val="auto"/>
          <w:kern w:val="0"/>
          <w:szCs w:val="21"/>
        </w:rPr>
        <w:t>目录</w:t>
      </w:r>
    </w:p>
    <w:p>
      <w:pPr>
        <w:spacing w:line="360" w:lineRule="auto"/>
        <w:jc w:val="left"/>
        <w:rPr>
          <w:rFonts w:ascii="宋体" w:hAnsi="宋体" w:cs="仿宋_GB2312"/>
          <w:color w:val="auto"/>
          <w:kern w:val="0"/>
          <w:szCs w:val="21"/>
        </w:rPr>
      </w:pPr>
      <w:r>
        <w:rPr>
          <w:rFonts w:hint="eastAsia" w:ascii="宋体" w:hAnsi="宋体" w:cs="仿宋_GB2312"/>
          <w:color w:val="auto"/>
          <w:kern w:val="0"/>
          <w:szCs w:val="21"/>
        </w:rPr>
        <w:t>一、《投标函》</w:t>
      </w:r>
    </w:p>
    <w:p>
      <w:pPr>
        <w:spacing w:line="360" w:lineRule="auto"/>
        <w:jc w:val="left"/>
        <w:rPr>
          <w:rFonts w:ascii="宋体" w:hAnsi="宋体" w:cs="仿宋_GB2312"/>
          <w:color w:val="auto"/>
          <w:kern w:val="0"/>
          <w:szCs w:val="21"/>
        </w:rPr>
      </w:pPr>
      <w:r>
        <w:rPr>
          <w:rFonts w:hint="eastAsia" w:ascii="宋体" w:hAnsi="宋体" w:cs="仿宋_GB2312"/>
          <w:color w:val="auto"/>
          <w:kern w:val="0"/>
          <w:szCs w:val="21"/>
        </w:rPr>
        <w:t>二、《法人授权委托书》</w:t>
      </w:r>
    </w:p>
    <w:p>
      <w:pPr>
        <w:spacing w:line="360" w:lineRule="auto"/>
        <w:jc w:val="left"/>
        <w:rPr>
          <w:rFonts w:ascii="宋体" w:hAnsi="宋体" w:cs="仿宋_GB2312"/>
          <w:color w:val="auto"/>
          <w:kern w:val="0"/>
          <w:szCs w:val="21"/>
        </w:rPr>
      </w:pPr>
      <w:r>
        <w:rPr>
          <w:rFonts w:hint="eastAsia" w:ascii="宋体" w:hAnsi="宋体" w:cs="仿宋_GB2312"/>
          <w:color w:val="auto"/>
          <w:kern w:val="0"/>
          <w:szCs w:val="21"/>
        </w:rPr>
        <w:t>三、《营业执照》</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四、《企业资质》</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rPr>
        <w:t>、</w:t>
      </w:r>
      <w:r>
        <w:rPr>
          <w:rFonts w:hint="eastAsia" w:ascii="宋体" w:hAnsi="宋体" w:eastAsia="宋体" w:cs="仿宋_GB2312"/>
          <w:color w:val="auto"/>
          <w:kern w:val="0"/>
          <w:szCs w:val="21"/>
        </w:rPr>
        <w:t>《</w:t>
      </w:r>
      <w:r>
        <w:rPr>
          <w:rFonts w:hint="eastAsia" w:ascii="宋体" w:hAnsi="宋体" w:eastAsia="宋体" w:cs="仿宋_GB2312"/>
          <w:color w:val="auto"/>
          <w:kern w:val="0"/>
          <w:szCs w:val="21"/>
          <w:lang w:val="en-US" w:eastAsia="zh-CN"/>
        </w:rPr>
        <w:t>投标保证金银行回执</w:t>
      </w:r>
      <w:r>
        <w:rPr>
          <w:rFonts w:hint="eastAsia" w:ascii="宋体" w:hAnsi="宋体" w:eastAsia="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无需缴纳的投标单位可不提供此项</w:t>
      </w:r>
      <w:r>
        <w:rPr>
          <w:rFonts w:hint="eastAsia" w:ascii="宋体" w:hAnsi="宋体" w:cs="仿宋_GB2312"/>
          <w:color w:val="auto"/>
          <w:kern w:val="0"/>
          <w:szCs w:val="21"/>
          <w:lang w:eastAsia="zh-CN"/>
        </w:rPr>
        <w:t>）</w:t>
      </w:r>
    </w:p>
    <w:p>
      <w:pPr>
        <w:pStyle w:val="4"/>
        <w:ind w:left="0" w:leftChars="0" w:firstLine="0" w:firstLineChars="0"/>
        <w:jc w:val="left"/>
        <w:rPr>
          <w:rFonts w:hint="eastAsia" w:ascii="宋体" w:hAnsi="宋体" w:cs="仿宋_GB2312"/>
          <w:color w:val="auto"/>
          <w:sz w:val="21"/>
          <w:szCs w:val="21"/>
        </w:rPr>
      </w:pPr>
      <w:r>
        <w:rPr>
          <w:rFonts w:hint="eastAsia" w:ascii="宋体" w:hAnsi="宋体" w:eastAsia="宋体" w:cs="仿宋_GB2312"/>
          <w:color w:val="auto"/>
          <w:kern w:val="0"/>
          <w:sz w:val="21"/>
          <w:szCs w:val="21"/>
          <w:lang w:val="en-US" w:eastAsia="zh-CN"/>
        </w:rPr>
        <w:t>六、</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p>
    <w:p>
      <w:pPr>
        <w:spacing w:line="360" w:lineRule="auto"/>
        <w:jc w:val="left"/>
        <w:rPr>
          <w:rFonts w:ascii="宋体" w:hAnsi="宋体" w:cs="宋体"/>
          <w:color w:val="auto"/>
          <w:kern w:val="0"/>
          <w:szCs w:val="21"/>
        </w:rPr>
      </w:pPr>
      <w:r>
        <w:rPr>
          <w:rFonts w:hint="eastAsia"/>
          <w:color w:val="auto"/>
          <w:szCs w:val="21"/>
          <w:lang w:val="en-US" w:eastAsia="zh-CN"/>
        </w:rPr>
        <w:t>七</w:t>
      </w:r>
      <w:r>
        <w:rPr>
          <w:rFonts w:hint="eastAsia"/>
          <w:color w:val="auto"/>
          <w:szCs w:val="21"/>
        </w:rPr>
        <w:t>、《</w:t>
      </w:r>
      <w:r>
        <w:rPr>
          <w:rFonts w:hint="eastAsia" w:ascii="宋体" w:hAnsi="宋体" w:cs="仿宋_GB2312"/>
          <w:color w:val="auto"/>
          <w:kern w:val="0"/>
          <w:szCs w:val="21"/>
        </w:rPr>
        <w:t>施工方案</w:t>
      </w:r>
      <w:r>
        <w:rPr>
          <w:rFonts w:hint="eastAsia" w:ascii="宋体" w:hAnsi="宋体" w:cs="宋体"/>
          <w:color w:val="auto"/>
          <w:kern w:val="0"/>
          <w:szCs w:val="21"/>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八</w:t>
      </w:r>
      <w:r>
        <w:rPr>
          <w:rFonts w:hint="eastAsia" w:ascii="宋体" w:hAnsi="宋体" w:cs="仿宋_GB2312"/>
          <w:color w:val="auto"/>
          <w:kern w:val="0"/>
          <w:szCs w:val="21"/>
        </w:rPr>
        <w:t>、《</w:t>
      </w:r>
      <w:r>
        <w:rPr>
          <w:rFonts w:hint="eastAsia" w:ascii="宋体" w:hAnsi="宋体" w:cs="宋体"/>
          <w:color w:val="auto"/>
          <w:sz w:val="24"/>
        </w:rPr>
        <w:t>对“招标文件第四章第6条采购需求”满足程度</w:t>
      </w:r>
      <w:r>
        <w:rPr>
          <w:rFonts w:hint="eastAsia" w:ascii="宋体" w:hAnsi="宋体" w:cs="仿宋_GB2312"/>
          <w:color w:val="auto"/>
          <w:kern w:val="0"/>
          <w:szCs w:val="21"/>
        </w:rPr>
        <w:t>》</w:t>
      </w:r>
    </w:p>
    <w:p>
      <w:pPr>
        <w:spacing w:line="360" w:lineRule="auto"/>
        <w:jc w:val="left"/>
        <w:rPr>
          <w:rFonts w:hint="eastAsia" w:ascii="宋体" w:hAnsi="宋体" w:cs="仿宋_GB2312"/>
          <w:color w:val="auto"/>
          <w:kern w:val="0"/>
          <w:szCs w:val="21"/>
        </w:rPr>
      </w:pPr>
      <w:r>
        <w:rPr>
          <w:rFonts w:hint="eastAsia"/>
          <w:color w:val="auto"/>
          <w:lang w:val="en-US" w:eastAsia="zh-CN"/>
        </w:rPr>
        <w:t>九</w:t>
      </w:r>
      <w:r>
        <w:rPr>
          <w:rFonts w:hint="eastAsia"/>
          <w:color w:val="auto"/>
        </w:rPr>
        <w:t>、</w:t>
      </w:r>
      <w:r>
        <w:rPr>
          <w:rFonts w:hint="eastAsia" w:ascii="宋体" w:hAnsi="宋体" w:cs="仿宋_GB2312"/>
          <w:color w:val="auto"/>
          <w:kern w:val="0"/>
          <w:szCs w:val="21"/>
        </w:rPr>
        <w:t>《施工深化图纸》</w:t>
      </w:r>
    </w:p>
    <w:p>
      <w:pPr>
        <w:spacing w:line="360" w:lineRule="auto"/>
        <w:jc w:val="left"/>
        <w:rPr>
          <w:rFonts w:ascii="宋体" w:hAnsi="宋体" w:cs="仿宋_GB2312"/>
          <w:color w:val="auto"/>
          <w:kern w:val="0"/>
          <w:szCs w:val="21"/>
        </w:rPr>
      </w:pPr>
      <w:r>
        <w:rPr>
          <w:rFonts w:hint="eastAsia" w:ascii="宋体" w:hAnsi="宋体" w:cs="仿宋_GB2312"/>
          <w:color w:val="auto"/>
          <w:kern w:val="0"/>
          <w:szCs w:val="21"/>
          <w:lang w:val="en-US" w:eastAsia="zh-CN"/>
        </w:rPr>
        <w:t>十</w:t>
      </w:r>
      <w:r>
        <w:rPr>
          <w:rFonts w:hint="eastAsia" w:ascii="宋体" w:hAnsi="宋体" w:cs="仿宋_GB2312"/>
          <w:color w:val="auto"/>
          <w:kern w:val="0"/>
          <w:szCs w:val="21"/>
        </w:rPr>
        <w:t>、《业绩情况》</w:t>
      </w:r>
    </w:p>
    <w:p>
      <w:pPr>
        <w:spacing w:line="360" w:lineRule="auto"/>
        <w:jc w:val="left"/>
        <w:rPr>
          <w:rFonts w:ascii="宋体" w:hAnsi="宋体" w:cs="仿宋_GB2312"/>
          <w:color w:val="auto"/>
          <w:kern w:val="0"/>
          <w:szCs w:val="21"/>
        </w:rPr>
      </w:pPr>
      <w:r>
        <w:rPr>
          <w:rFonts w:hint="eastAsia" w:ascii="宋体" w:hAnsi="宋体" w:cs="仿宋_GB2312"/>
          <w:color w:val="auto"/>
          <w:kern w:val="0"/>
          <w:szCs w:val="21"/>
          <w:lang w:val="en-US" w:eastAsia="zh-CN"/>
        </w:rPr>
        <w:t>十一</w:t>
      </w:r>
      <w:r>
        <w:rPr>
          <w:rFonts w:hint="eastAsia" w:ascii="宋体" w:hAnsi="宋体" w:cs="仿宋_GB2312"/>
          <w:color w:val="auto"/>
          <w:kern w:val="0"/>
          <w:szCs w:val="21"/>
        </w:rPr>
        <w:t>、《分包项目管理人员表》</w:t>
      </w:r>
    </w:p>
    <w:p>
      <w:pPr>
        <w:spacing w:line="360" w:lineRule="auto"/>
        <w:jc w:val="left"/>
        <w:rPr>
          <w:rFonts w:ascii="宋体" w:hAnsi="宋体" w:cs="仿宋_GB2312"/>
          <w:color w:val="auto"/>
          <w:kern w:val="0"/>
          <w:szCs w:val="21"/>
        </w:rPr>
      </w:pPr>
      <w:r>
        <w:rPr>
          <w:rFonts w:hint="eastAsia" w:ascii="宋体" w:hAnsi="宋体" w:cs="仿宋_GB2312"/>
          <w:color w:val="auto"/>
          <w:kern w:val="0"/>
          <w:szCs w:val="21"/>
        </w:rPr>
        <w:t>十</w:t>
      </w: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、《项目管理组织机构》</w:t>
      </w:r>
    </w:p>
    <w:p>
      <w:pPr>
        <w:spacing w:line="360" w:lineRule="auto"/>
        <w:ind w:left="0" w:leftChars="0" w:right="63" w:firstLine="0" w:firstLineChars="0"/>
        <w:jc w:val="left"/>
        <w:rPr>
          <w:color w:val="auto"/>
        </w:rPr>
      </w:pPr>
      <w:r>
        <w:rPr>
          <w:rFonts w:hint="eastAsia" w:ascii="宋体" w:hAnsi="宋体" w:cs="仿宋_GB2312"/>
          <w:color w:val="auto"/>
          <w:kern w:val="0"/>
          <w:szCs w:val="21"/>
        </w:rPr>
        <w:t>十</w:t>
      </w:r>
      <w:r>
        <w:rPr>
          <w:rFonts w:hint="eastAsia" w:ascii="宋体" w:hAnsi="宋体" w:cs="仿宋_GB2312"/>
          <w:color w:val="auto"/>
          <w:kern w:val="0"/>
          <w:szCs w:val="21"/>
          <w:lang w:val="en-US" w:eastAsia="zh-CN"/>
        </w:rPr>
        <w:t>三</w:t>
      </w:r>
      <w:r>
        <w:rPr>
          <w:rFonts w:hint="eastAsia" w:ascii="宋体" w:hAnsi="宋体" w:cs="仿宋_GB2312"/>
          <w:color w:val="auto"/>
          <w:kern w:val="0"/>
          <w:szCs w:val="21"/>
        </w:rPr>
        <w:t>、《工程量清单》</w:t>
      </w:r>
    </w:p>
    <w:p>
      <w:pPr>
        <w:rPr>
          <w:rFonts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我单位对 </w:t>
      </w:r>
      <w:r>
        <w:rPr>
          <w:rFonts w:hint="eastAsia" w:ascii="仿宋" w:hAnsi="仿宋" w:eastAsia="仿宋" w:cs="仿宋"/>
          <w:color w:val="auto"/>
          <w:kern w:val="0"/>
          <w:sz w:val="28"/>
          <w:szCs w:val="28"/>
          <w:u w:val="single"/>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%（大写        ）。</w:t>
      </w:r>
    </w:p>
    <w:p>
      <w:pPr>
        <w:ind w:firstLine="645"/>
        <w:rPr>
          <w:rFonts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4"/>
        <w:ind w:left="63" w:right="63" w:firstLine="200"/>
        <w:rPr>
          <w:color w:val="auto"/>
        </w:rPr>
      </w:pPr>
    </w:p>
    <w:p>
      <w:pPr>
        <w:pStyle w:val="4"/>
        <w:ind w:left="63" w:right="63" w:firstLine="28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4"/>
        <w:ind w:left="0" w:leftChars="0" w:right="63" w:firstLine="0" w:firstLineChars="0"/>
        <w:jc w:val="left"/>
        <w:rPr>
          <w:rFonts w:eastAsia="黑体"/>
          <w:b/>
          <w:bCs/>
          <w:color w:val="auto"/>
          <w:sz w:val="28"/>
          <w:szCs w:val="28"/>
        </w:rPr>
      </w:pPr>
    </w:p>
    <w:p>
      <w:pPr>
        <w:pStyle w:val="4"/>
        <w:ind w:left="0" w:leftChars="0" w:right="63" w:firstLine="0" w:firstLineChars="0"/>
        <w:jc w:val="both"/>
        <w:rPr>
          <w:rFonts w:eastAsia="黑体"/>
          <w:b/>
          <w:bCs/>
          <w:color w:val="auto"/>
          <w:sz w:val="32"/>
        </w:rPr>
      </w:pPr>
    </w:p>
    <w:p>
      <w:pPr>
        <w:pStyle w:val="4"/>
        <w:ind w:left="0" w:leftChars="0" w:right="63" w:firstLine="0" w:firstLineChars="0"/>
        <w:jc w:val="both"/>
        <w:rPr>
          <w:rFonts w:eastAsia="黑体"/>
          <w:b/>
          <w:bCs/>
          <w:color w:val="auto"/>
          <w:sz w:val="32"/>
        </w:rPr>
      </w:pPr>
    </w:p>
    <w:p>
      <w:pPr>
        <w:spacing w:line="360" w:lineRule="auto"/>
        <w:rPr>
          <w:rFonts w:eastAsia="黑体"/>
          <w:b/>
          <w:bCs/>
          <w:color w:val="auto"/>
          <w:sz w:val="32"/>
        </w:rPr>
      </w:pPr>
    </w:p>
    <w:p>
      <w:pPr>
        <w:pStyle w:val="4"/>
        <w:ind w:left="63" w:right="63" w:firstLine="200"/>
        <w:rPr>
          <w:color w:val="auto"/>
        </w:rPr>
      </w:pPr>
    </w:p>
    <w:p>
      <w:pPr>
        <w:spacing w:line="360" w:lineRule="auto"/>
        <w:rPr>
          <w:rFonts w:eastAsia="黑体"/>
          <w:b/>
          <w:bCs/>
          <w:color w:val="auto"/>
          <w:sz w:val="32"/>
        </w:rPr>
      </w:pPr>
    </w:p>
    <w:p>
      <w:pPr>
        <w:spacing w:line="360" w:lineRule="auto"/>
        <w:rPr>
          <w:rFonts w:ascii="黑体" w:hAnsi="黑体" w:eastAsia="黑体" w:cs="黑体"/>
          <w:color w:val="auto"/>
          <w:sz w:val="32"/>
        </w:rPr>
      </w:pPr>
      <w:r>
        <w:rPr>
          <w:rFonts w:hint="eastAsia" w:ascii="黑体" w:hAnsi="黑体" w:eastAsia="黑体" w:cs="黑体"/>
          <w:color w:val="auto"/>
          <w:sz w:val="32"/>
        </w:rPr>
        <w:t>附件2</w:t>
      </w:r>
    </w:p>
    <w:p>
      <w:pPr>
        <w:spacing w:line="360" w:lineRule="auto"/>
        <w:ind w:firstLine="144" w:firstLineChars="45"/>
        <w:jc w:val="center"/>
        <w:rPr>
          <w:rFonts w:ascii="仿宋" w:hAnsi="仿宋" w:eastAsia="仿宋" w:cs="仿宋"/>
          <w:color w:val="auto"/>
          <w:sz w:val="32"/>
        </w:rPr>
      </w:pPr>
      <w:r>
        <w:rPr>
          <w:rFonts w:hint="eastAsia" w:ascii="仿宋" w:hAnsi="仿宋" w:eastAsia="仿宋" w:cs="仿宋"/>
          <w:color w:val="auto"/>
          <w:sz w:val="32"/>
        </w:rPr>
        <w:t>法定代表人授权委托书</w:t>
      </w:r>
    </w:p>
    <w:p>
      <w:pPr>
        <w:spacing w:line="360" w:lineRule="auto"/>
        <w:ind w:firstLine="548" w:firstLineChars="196"/>
        <w:jc w:val="left"/>
        <w:rPr>
          <w:rFonts w:ascii="仿宋" w:hAnsi="仿宋" w:eastAsia="仿宋" w:cs="仿宋"/>
          <w:color w:val="auto"/>
          <w:sz w:val="28"/>
          <w:szCs w:val="28"/>
        </w:rPr>
      </w:pPr>
      <w:r>
        <w:rPr>
          <w:rFonts w:hint="eastAsia" w:ascii="仿宋" w:hAnsi="仿宋" w:eastAsia="仿宋" w:cs="仿宋"/>
          <w:color w:val="auto"/>
          <w:sz w:val="28"/>
          <w:szCs w:val="28"/>
        </w:rPr>
        <w:t>兹委托我公司</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同志，身份证号码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代表本公司与贵公司签署</w:t>
      </w:r>
      <w:r>
        <w:rPr>
          <w:rFonts w:hint="eastAsia" w:ascii="仿宋" w:hAnsi="仿宋" w:eastAsia="仿宋" w:cs="仿宋"/>
          <w:color w:val="auto"/>
          <w:sz w:val="32"/>
          <w:szCs w:val="32"/>
          <w:u w:val="single"/>
        </w:rPr>
        <w:t xml:space="preserve">             </w:t>
      </w:r>
      <w:r>
        <w:rPr>
          <w:rFonts w:hint="eastAsia" w:ascii="仿宋" w:hAnsi="仿宋" w:eastAsia="仿宋" w:cs="仿宋"/>
          <w:color w:val="auto"/>
          <w:kern w:val="0"/>
          <w:sz w:val="28"/>
          <w:szCs w:val="28"/>
          <w:u w:val="single"/>
        </w:rPr>
        <w:t>（项目名称）</w:t>
      </w:r>
      <w:r>
        <w:rPr>
          <w:rFonts w:hint="eastAsia" w:ascii="仿宋" w:hAnsi="仿宋" w:eastAsia="仿宋" w:cs="仿宋"/>
          <w:color w:val="auto"/>
          <w:sz w:val="28"/>
          <w:szCs w:val="28"/>
        </w:rPr>
        <w:t>分包合同，对其签署的所有文件本公司予以承认，并承担由此产生的所有经济和法律责任。同时委托我公司</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同志，身份号码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作为本项目的项目经理，负责本项目的具体实施，并承担由此产生的所有经济和法律责任。</w:t>
      </w:r>
    </w:p>
    <w:p>
      <w:pPr>
        <w:pStyle w:val="6"/>
        <w:rPr>
          <w:rFonts w:ascii="仿宋" w:hAnsi="仿宋" w:eastAsia="仿宋" w:cs="仿宋"/>
          <w:color w:val="auto"/>
          <w:szCs w:val="28"/>
        </w:rPr>
      </w:pPr>
    </w:p>
    <w:p>
      <w:pPr>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特此授权。</w:t>
      </w:r>
    </w:p>
    <w:p>
      <w:pPr>
        <w:spacing w:line="360" w:lineRule="auto"/>
        <w:ind w:firstLine="480"/>
        <w:jc w:val="left"/>
        <w:rPr>
          <w:rFonts w:ascii="仿宋" w:hAnsi="仿宋" w:eastAsia="仿宋" w:cs="仿宋"/>
          <w:color w:val="auto"/>
          <w:sz w:val="28"/>
          <w:szCs w:val="28"/>
        </w:rPr>
      </w:pPr>
    </w:p>
    <w:p>
      <w:pPr>
        <w:spacing w:line="360" w:lineRule="auto"/>
        <w:ind w:firstLine="480"/>
        <w:jc w:val="left"/>
        <w:rPr>
          <w:rFonts w:ascii="仿宋" w:hAnsi="仿宋" w:eastAsia="仿宋" w:cs="仿宋"/>
          <w:color w:val="auto"/>
          <w:sz w:val="28"/>
          <w:szCs w:val="28"/>
        </w:rPr>
      </w:pPr>
      <w:r>
        <w:rPr>
          <w:rFonts w:hint="eastAsia" w:ascii="仿宋" w:hAnsi="仿宋" w:eastAsia="仿宋" w:cs="仿宋"/>
          <w:color w:val="auto"/>
          <w:sz w:val="28"/>
          <w:szCs w:val="28"/>
        </w:rPr>
        <w:t>授权人（企业法定代表人）：</w:t>
      </w:r>
    </w:p>
    <w:p>
      <w:pPr>
        <w:spacing w:line="360" w:lineRule="auto"/>
        <w:ind w:firstLine="480"/>
        <w:jc w:val="left"/>
        <w:rPr>
          <w:rFonts w:ascii="仿宋" w:hAnsi="仿宋" w:eastAsia="仿宋" w:cs="仿宋"/>
          <w:color w:val="auto"/>
          <w:sz w:val="28"/>
          <w:szCs w:val="28"/>
        </w:rPr>
      </w:pPr>
      <w:r>
        <w:rPr>
          <w:rFonts w:hint="eastAsia" w:ascii="仿宋" w:hAnsi="仿宋" w:eastAsia="仿宋" w:cs="仿宋"/>
          <w:color w:val="auto"/>
          <w:sz w:val="28"/>
          <w:szCs w:val="28"/>
        </w:rPr>
        <w:t>企业公章：</w:t>
      </w:r>
    </w:p>
    <w:p>
      <w:pPr>
        <w:spacing w:line="360" w:lineRule="auto"/>
        <w:ind w:firstLine="480"/>
        <w:jc w:val="left"/>
        <w:rPr>
          <w:rFonts w:ascii="仿宋" w:hAnsi="仿宋" w:eastAsia="仿宋" w:cs="仿宋"/>
          <w:color w:val="auto"/>
          <w:sz w:val="28"/>
          <w:szCs w:val="28"/>
        </w:rPr>
      </w:pPr>
    </w:p>
    <w:p>
      <w:pPr>
        <w:spacing w:line="360" w:lineRule="auto"/>
        <w:ind w:firstLine="1120" w:firstLineChars="400"/>
        <w:rPr>
          <w:rFonts w:ascii="仿宋" w:hAnsi="仿宋" w:eastAsia="仿宋" w:cs="仿宋"/>
          <w:color w:val="auto"/>
          <w:sz w:val="28"/>
          <w:szCs w:val="28"/>
        </w:rPr>
      </w:pPr>
      <w:r>
        <w:rPr>
          <w:rFonts w:hint="eastAsia" w:ascii="仿宋" w:hAnsi="仿宋" w:eastAsia="仿宋" w:cs="仿宋"/>
          <w:color w:val="auto"/>
          <w:sz w:val="28"/>
          <w:szCs w:val="28"/>
        </w:rPr>
        <w:t>年     月     日</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附：授权人及被委托人身份证复印件并加盖本公司公章：</w:t>
      </w:r>
    </w:p>
    <w:tbl>
      <w:tblPr>
        <w:tblStyle w:val="9"/>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ascii="仿宋" w:hAnsi="仿宋" w:eastAsia="仿宋" w:cs="仿宋"/>
                <w:color w:val="auto"/>
              </w:rPr>
            </w:pPr>
          </w:p>
        </w:tc>
        <w:tc>
          <w:tcPr>
            <w:tcW w:w="5200" w:type="dxa"/>
          </w:tcPr>
          <w:p>
            <w:pPr>
              <w:spacing w:line="360" w:lineRule="auto"/>
              <w:rPr>
                <w:rFonts w:ascii="仿宋" w:hAnsi="仿宋" w:eastAsia="仿宋" w:cs="仿宋"/>
                <w:color w:val="auto"/>
              </w:rPr>
            </w:pPr>
          </w:p>
        </w:tc>
      </w:tr>
    </w:tbl>
    <w:p>
      <w:pPr>
        <w:rPr>
          <w:color w:val="auto"/>
        </w:rPr>
      </w:pPr>
    </w:p>
    <w:p>
      <w:pPr>
        <w:rPr>
          <w:color w:val="auto"/>
        </w:rPr>
      </w:pPr>
    </w:p>
    <w:p>
      <w:pPr>
        <w:pStyle w:val="4"/>
        <w:ind w:left="63" w:right="63" w:firstLine="200"/>
        <w:rPr>
          <w:color w:val="auto"/>
        </w:rPr>
      </w:pPr>
    </w:p>
    <w:p>
      <w:pPr>
        <w:pStyle w:val="4"/>
        <w:ind w:left="63" w:right="63" w:firstLine="200"/>
        <w:rPr>
          <w:color w:val="auto"/>
        </w:rPr>
      </w:pPr>
    </w:p>
    <w:p>
      <w:pPr>
        <w:rPr>
          <w:rFonts w:hint="eastAsia" w:ascii="黑体" w:hAnsi="黑体" w:eastAsia="黑体" w:cs="黑体"/>
          <w:color w:val="auto"/>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4"/>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default" w:ascii="黑体" w:hAnsi="黑体" w:eastAsia="黑体" w:cs="黑体"/>
          <w:color w:val="auto"/>
          <w:sz w:val="32"/>
          <w:szCs w:val="32"/>
          <w:lang w:val="en-US" w:eastAsia="zh-CN"/>
        </w:rPr>
        <w:sectPr>
          <w:pgSz w:w="11906" w:h="16838"/>
          <w:pgMar w:top="720" w:right="720" w:bottom="720" w:left="720" w:header="851" w:footer="992" w:gutter="0"/>
          <w:cols w:space="425" w:num="1"/>
          <w:docGrid w:type="lines" w:linePitch="312" w:charSpace="0"/>
        </w:sectPr>
      </w:pPr>
    </w:p>
    <w:p>
      <w:pPr>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156" w:beforeLines="50" w:after="156"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4"/>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rPr>
        <w:t xml:space="preserve">             </w:t>
      </w:r>
      <w:r>
        <w:rPr>
          <w:rFonts w:hint="eastAsia" w:ascii="宋体" w:hAnsi="宋体" w:eastAsia="仿宋" w:cs="宋体"/>
          <w:color w:val="auto"/>
          <w:sz w:val="28"/>
          <w:szCs w:val="28"/>
          <w:u w:val="single"/>
        </w:rPr>
        <w:t>（项目名称）</w:t>
      </w:r>
    </w:p>
    <w:tbl>
      <w:tblPr>
        <w:tblStyle w:val="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4"/>
        <w:ind w:left="63" w:right="63" w:firstLine="200"/>
        <w:rPr>
          <w:color w:val="auto"/>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jc w:val="right"/>
      <w:rPr>
        <w:rStyle w:val="11"/>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EEDD5"/>
    <w:multiLevelType w:val="singleLevel"/>
    <w:tmpl w:val="FD5EEDD5"/>
    <w:lvl w:ilvl="0" w:tentative="0">
      <w:start w:val="5"/>
      <w:numFmt w:val="decimal"/>
      <w:lvlText w:val="%1."/>
      <w:lvlJc w:val="left"/>
      <w:pPr>
        <w:tabs>
          <w:tab w:val="left" w:pos="312"/>
        </w:tabs>
      </w:pPr>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B3FBE"/>
    <w:rsid w:val="0D1B73B0"/>
    <w:rsid w:val="1AEB3FBE"/>
    <w:rsid w:val="2DDC2884"/>
    <w:rsid w:val="342804A8"/>
    <w:rsid w:val="379245B6"/>
    <w:rsid w:val="4F0A7EC4"/>
    <w:rsid w:val="56995BED"/>
    <w:rsid w:val="5A396AAB"/>
    <w:rsid w:val="6FD62FCC"/>
    <w:rsid w:val="781D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rPr>
      <w:rFonts w:ascii="Arial" w:hAnsi="Arial" w:cs="Arial"/>
    </w:r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Body Text First Indent"/>
    <w:basedOn w:val="3"/>
    <w:next w:val="5"/>
    <w:unhideWhenUsed/>
    <w:qFormat/>
    <w:uiPriority w:val="99"/>
    <w:pPr>
      <w:ind w:firstLine="420" w:firstLineChars="100"/>
    </w:pPr>
  </w:style>
  <w:style w:type="paragraph" w:styleId="5">
    <w:name w:val="toc 6"/>
    <w:basedOn w:val="1"/>
    <w:next w:val="1"/>
    <w:qFormat/>
    <w:uiPriority w:val="99"/>
    <w:pPr>
      <w:ind w:left="2100" w:leftChars="1000"/>
    </w:pPr>
    <w:rPr>
      <w:rFonts w:ascii="Calibri" w:hAnsi="Calibri"/>
      <w:szCs w:val="22"/>
    </w:rPr>
  </w:style>
  <w:style w:type="paragraph" w:styleId="6">
    <w:name w:val="Body Text Indent"/>
    <w:basedOn w:val="1"/>
    <w:qFormat/>
    <w:uiPriority w:val="0"/>
    <w:pPr>
      <w:tabs>
        <w:tab w:val="left" w:pos="7060"/>
      </w:tabs>
      <w:spacing w:line="360" w:lineRule="auto"/>
      <w:ind w:firstLine="560" w:firstLineChars="200"/>
    </w:pPr>
    <w:rPr>
      <w:rFonts w:eastAsia="新宋体"/>
      <w:sz w:val="2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rPr>
      <w:rFonts w:cs="Times New Roman"/>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2021-11-09T00:57:00Z</dcterms:created>
  <dc:creator>宜以琳</dc:creator>
  <cp:lastModifiedBy>宜以琳</cp:lastModifiedBy>
  <dcterms:modified xsi:type="dcterms:W3CDTF">2021-11-09T01:19:12Z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4023A4858720462BB77A6AAEC235D67D</vt:lpwstr>
  </property>
</Properties>
</file>