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2021年菱湖农贸市场停车场维修劳务分包工程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11</w:t>
      </w:r>
      <w:r>
        <w:rPr>
          <w:rFonts w:hint="eastAsia" w:ascii="宋体" w:hAnsi="宋体"/>
          <w:b/>
          <w:sz w:val="30"/>
          <w:szCs w:val="30"/>
        </w:rPr>
        <w:t xml:space="preserve">月 </w:t>
      </w:r>
    </w:p>
    <w:p>
      <w:pPr>
        <w:pStyle w:val="2"/>
        <w:rPr>
          <w:rFonts w:hint="eastAsia"/>
        </w:rPr>
      </w:pPr>
    </w:p>
    <w:p>
      <w:pPr>
        <w:pStyle w:val="2"/>
        <w:rPr>
          <w:rFonts w:hint="eastAsia"/>
        </w:rPr>
      </w:pPr>
    </w:p>
    <w:p>
      <w:pPr>
        <w:pStyle w:val="2"/>
        <w:ind w:left="0" w:leftChars="0" w:firstLine="0" w:firstLineChars="0"/>
        <w:jc w:val="both"/>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2021年菱湖农贸市场停车场维修劳务分包工程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b w:val="0"/>
          <w:bCs/>
          <w:color w:val="000000"/>
          <w:spacing w:val="0"/>
          <w:kern w:val="2"/>
          <w:sz w:val="21"/>
          <w:szCs w:val="21"/>
          <w:lang w:val="en-US" w:eastAsia="zh-CN" w:bidi="ar-SA"/>
        </w:rPr>
        <w:t>菱湖农贸市场原地面改造及修复，雨污水井提升及改造，标志标线、减速带的设置</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color w:val="000000"/>
          <w:spacing w:val="0"/>
          <w:kern w:val="2"/>
          <w:sz w:val="21"/>
          <w:szCs w:val="21"/>
          <w:lang w:val="en-US" w:eastAsia="zh-CN" w:bidi="ar-SA"/>
        </w:rPr>
        <w:t>菱湖农贸市场原地面改造及修复，雨污水井提升及改造，标志标线、减速带的设置</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2021年菱湖农贸市场停车场维修劳务分包工程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cs="TimesNewRomanPSMT"/>
          <w:b w:val="0"/>
          <w:bCs w:val="0"/>
          <w:kern w:val="0"/>
          <w:sz w:val="21"/>
          <w:szCs w:val="21"/>
          <w:lang w:val="en-US" w:eastAsia="zh-CN"/>
        </w:rPr>
        <w:t>原地面凿除约20cm，重新浇筑混凝土，沥青面层修复，人行道上铺设面层、浇筑基层，铺设花岗岩侧石，标志标线和约20m减速带的设置，现场雨污水井的提升改造，</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w:t>
      </w:r>
      <w:r>
        <w:rPr>
          <w:rFonts w:hint="eastAsia" w:ascii="宋体" w:hAnsi="宋体" w:cs="宋体"/>
          <w:color w:val="FF0000"/>
          <w:kern w:val="0"/>
          <w:sz w:val="21"/>
          <w:szCs w:val="21"/>
          <w:u w:val="none"/>
          <w:lang w:val="en-US" w:eastAsia="zh-CN"/>
        </w:rPr>
        <w:t>菱湖农贸市场停车场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2021年11月17日至2021年11月19日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工程暂估总价80万元，其中劳务暂估价16万元</w:t>
      </w:r>
      <w:bookmarkStart w:id="45" w:name="_GoBack"/>
      <w:bookmarkEnd w:id="45"/>
      <w:r>
        <w:rPr>
          <w:rFonts w:hint="eastAsia" w:ascii="宋体" w:hAnsi="宋体" w:cs="仿宋_GB2312"/>
          <w:color w:val="FF0000"/>
          <w:kern w:val="0"/>
          <w:sz w:val="21"/>
          <w:szCs w:val="21"/>
          <w:lang w:val="en-US"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2021年菱湖农贸市场停车场维修劳务分包工程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TimesNewRomanPSMT"/>
                <w:b w:val="0"/>
                <w:bCs w:val="0"/>
                <w:kern w:val="0"/>
                <w:sz w:val="21"/>
                <w:szCs w:val="21"/>
                <w:lang w:val="en-US" w:eastAsia="zh-CN"/>
              </w:rPr>
              <w:t>原地面凿除约20cm，重新浇筑混凝土，沥青面层修复，人行道上铺设面层、浇筑基层，铺设花岗岩侧石，标志标线和约20m减速带的设置，现场雨污水井的提升改造，</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46996962"/>
      <w:bookmarkStart w:id="4" w:name="_Toc246996219"/>
      <w:bookmarkStart w:id="5" w:name="_Toc179632593"/>
      <w:bookmarkStart w:id="6" w:name="_Toc296590983"/>
      <w:bookmarkStart w:id="7" w:name="_Toc296602462"/>
      <w:bookmarkStart w:id="8" w:name="_Toc247085733"/>
      <w:bookmarkStart w:id="9" w:name="_Toc152042351"/>
      <w:bookmarkStart w:id="10" w:name="_Toc152045575"/>
      <w:bookmarkStart w:id="11" w:name="_Toc14497454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96602463"/>
      <w:bookmarkStart w:id="13" w:name="_Toc246996220"/>
      <w:bookmarkStart w:id="14" w:name="_Toc179632594"/>
      <w:bookmarkStart w:id="15" w:name="_Toc246996963"/>
      <w:bookmarkStart w:id="16" w:name="_Toc152042352"/>
      <w:bookmarkStart w:id="17" w:name="_Toc144974544"/>
      <w:bookmarkStart w:id="18" w:name="_Toc247085734"/>
      <w:bookmarkStart w:id="19" w:name="_Toc152045576"/>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44974545"/>
      <w:bookmarkStart w:id="21" w:name="_Toc247085735"/>
      <w:bookmarkStart w:id="22" w:name="_Toc296602464"/>
      <w:bookmarkStart w:id="23" w:name="_Toc152045577"/>
      <w:bookmarkStart w:id="24" w:name="_Toc179632595"/>
      <w:bookmarkStart w:id="25" w:name="_Toc246996964"/>
      <w:bookmarkStart w:id="26" w:name="_Toc246996221"/>
      <w:bookmarkStart w:id="27" w:name="_Toc152042353"/>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2354"/>
      <w:bookmarkStart w:id="29" w:name="_Toc246996965"/>
      <w:bookmarkStart w:id="30" w:name="_Toc246996222"/>
      <w:bookmarkStart w:id="31" w:name="_Toc152045578"/>
      <w:bookmarkStart w:id="32" w:name="_Toc179632596"/>
      <w:bookmarkStart w:id="33" w:name="_Toc296602465"/>
      <w:bookmarkStart w:id="34" w:name="_Toc24708573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52045579"/>
      <w:bookmarkStart w:id="38" w:name="_Toc247085737"/>
      <w:bookmarkStart w:id="39" w:name="_Toc152042356"/>
      <w:bookmarkStart w:id="40" w:name="_Toc246996966"/>
      <w:bookmarkStart w:id="41" w:name="_Toc296602466"/>
      <w:bookmarkStart w:id="42" w:name="_Toc246996223"/>
      <w:bookmarkStart w:id="43" w:name="_Toc17963259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混凝土、沥青、花岗岩侧石、减速带等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w:t>
      </w:r>
      <w:r>
        <w:rPr>
          <w:rFonts w:hint="eastAsia" w:ascii="宋体" w:hAnsi="宋体" w:cs="宋体"/>
          <w:b/>
          <w:color w:val="FF0000"/>
          <w:szCs w:val="21"/>
          <w:u w:val="none"/>
        </w:rPr>
        <w:t>支付至实际完成工程量</w:t>
      </w:r>
      <w:r>
        <w:rPr>
          <w:rFonts w:hint="eastAsia" w:ascii="宋体" w:hAnsi="宋体" w:cs="宋体"/>
          <w:b/>
          <w:color w:val="FF0000"/>
          <w:szCs w:val="21"/>
          <w:u w:val="none"/>
          <w:lang w:val="en-US" w:eastAsia="zh-CN"/>
        </w:rPr>
        <w:t>的50%，待结算审计完成后支付至审计价的95%，尾款待保修期满后在一个月内结清（无息）。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B412E9"/>
    <w:rsid w:val="11151C5F"/>
    <w:rsid w:val="11342AE3"/>
    <w:rsid w:val="11535CDA"/>
    <w:rsid w:val="11547BE0"/>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D7750"/>
    <w:rsid w:val="17AF79E2"/>
    <w:rsid w:val="17E76070"/>
    <w:rsid w:val="17FC683D"/>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51020"/>
    <w:rsid w:val="1EF403AD"/>
    <w:rsid w:val="1F207B44"/>
    <w:rsid w:val="1FA03DAE"/>
    <w:rsid w:val="1FAA3C18"/>
    <w:rsid w:val="1FD721E3"/>
    <w:rsid w:val="1FED51FB"/>
    <w:rsid w:val="1FF15AA8"/>
    <w:rsid w:val="200D1380"/>
    <w:rsid w:val="203D5C7A"/>
    <w:rsid w:val="204A18F4"/>
    <w:rsid w:val="204F4146"/>
    <w:rsid w:val="208B16DB"/>
    <w:rsid w:val="20CC075D"/>
    <w:rsid w:val="20FC47C3"/>
    <w:rsid w:val="210B711D"/>
    <w:rsid w:val="2127486C"/>
    <w:rsid w:val="217A2E8F"/>
    <w:rsid w:val="21AD2AA9"/>
    <w:rsid w:val="22B34C3F"/>
    <w:rsid w:val="22ED209B"/>
    <w:rsid w:val="22EE5862"/>
    <w:rsid w:val="23073830"/>
    <w:rsid w:val="231178C5"/>
    <w:rsid w:val="231263E5"/>
    <w:rsid w:val="236D774B"/>
    <w:rsid w:val="237E4173"/>
    <w:rsid w:val="23865D6B"/>
    <w:rsid w:val="239619AC"/>
    <w:rsid w:val="23CA4FAD"/>
    <w:rsid w:val="23EF57AD"/>
    <w:rsid w:val="2417309F"/>
    <w:rsid w:val="243E2265"/>
    <w:rsid w:val="2472448D"/>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6030A"/>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9C70DF"/>
    <w:rsid w:val="329D0E07"/>
    <w:rsid w:val="32A02E2C"/>
    <w:rsid w:val="32D811B7"/>
    <w:rsid w:val="32F857F4"/>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E44295"/>
    <w:rsid w:val="3EE67385"/>
    <w:rsid w:val="3F30557D"/>
    <w:rsid w:val="3F3C3A0D"/>
    <w:rsid w:val="3FCD4482"/>
    <w:rsid w:val="3FD203D8"/>
    <w:rsid w:val="3FDA2369"/>
    <w:rsid w:val="3FF85F20"/>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F65721"/>
    <w:rsid w:val="48F8729D"/>
    <w:rsid w:val="494B6911"/>
    <w:rsid w:val="49761856"/>
    <w:rsid w:val="4976695C"/>
    <w:rsid w:val="49AB468B"/>
    <w:rsid w:val="4A5D2BBA"/>
    <w:rsid w:val="4A600199"/>
    <w:rsid w:val="4AA77FB3"/>
    <w:rsid w:val="4AD61D8B"/>
    <w:rsid w:val="4B760EAB"/>
    <w:rsid w:val="4BE50202"/>
    <w:rsid w:val="4BE557FA"/>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69264D"/>
    <w:rsid w:val="4EC206EE"/>
    <w:rsid w:val="4ED13ABC"/>
    <w:rsid w:val="4ED652C6"/>
    <w:rsid w:val="4EFB7579"/>
    <w:rsid w:val="4F0931EA"/>
    <w:rsid w:val="4F417C01"/>
    <w:rsid w:val="4F676E75"/>
    <w:rsid w:val="4F9C4AA9"/>
    <w:rsid w:val="50344358"/>
    <w:rsid w:val="504101F5"/>
    <w:rsid w:val="50484332"/>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64939"/>
    <w:rsid w:val="58430E96"/>
    <w:rsid w:val="584B5C78"/>
    <w:rsid w:val="58513B77"/>
    <w:rsid w:val="586303D1"/>
    <w:rsid w:val="588501DB"/>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306DB2"/>
    <w:rsid w:val="5B523BA8"/>
    <w:rsid w:val="5B5C3848"/>
    <w:rsid w:val="5B617A31"/>
    <w:rsid w:val="5B9073F7"/>
    <w:rsid w:val="5BAA245B"/>
    <w:rsid w:val="5C084785"/>
    <w:rsid w:val="5C2C1905"/>
    <w:rsid w:val="5C3667FC"/>
    <w:rsid w:val="5C756A96"/>
    <w:rsid w:val="5C8B657B"/>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A0D0E38"/>
    <w:rsid w:val="6ABA4B0F"/>
    <w:rsid w:val="6B2B2B84"/>
    <w:rsid w:val="6B355327"/>
    <w:rsid w:val="6B963D85"/>
    <w:rsid w:val="6BA57064"/>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2E869E8"/>
    <w:rsid w:val="733A35E5"/>
    <w:rsid w:val="7353025C"/>
    <w:rsid w:val="73557AEB"/>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A7E48"/>
    <w:rsid w:val="76FD1966"/>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A80CEF"/>
    <w:rsid w:val="79AF1C6D"/>
    <w:rsid w:val="79CA7B2C"/>
    <w:rsid w:val="79CC6A81"/>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10152</Words>
  <Characters>10713</Characters>
  <Lines>82</Lines>
  <Paragraphs>23</Paragraphs>
  <TotalTime>0</TotalTime>
  <ScaleCrop>false</ScaleCrop>
  <LinksUpToDate>false</LinksUpToDate>
  <CharactersWithSpaces>11248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2021-10-11T06:56:00Z</cp:lastPrinted>
  <dcterms:modified xsi:type="dcterms:W3CDTF">2021-11-16T07:51:45Z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6C7A591E7EB7451AB1F76F941FD7FC59</vt:lpwstr>
  </property>
</Properties>
</file>