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9"/>
        <w:rPr>
          <w:rFonts w:hint="eastAsia"/>
          <w:lang w:val="en-US" w:eastAsia="zh-CN"/>
        </w:rPr>
      </w:pPr>
      <w:r>
        <w:rPr>
          <w:rFonts w:hint="eastAsia" w:asciiTheme="majorEastAsia" w:hAnsiTheme="majorEastAsia" w:eastAsiaTheme="majorEastAsia" w:cstheme="majorEastAsia"/>
          <w:b/>
          <w:color w:val="000000"/>
          <w:sz w:val="48"/>
          <w:szCs w:val="48"/>
          <w:lang w:val="en-US" w:eastAsia="zh-CN"/>
        </w:rPr>
        <w:t>沈庄漾农民新村南区工程-室外总布劳务分包工程</w:t>
      </w:r>
    </w:p>
    <w:p>
      <w:pPr>
        <w:pStyle w:val="10"/>
        <w:rPr>
          <w:rFonts w:hint="eastAsia"/>
          <w:lang w:val="en-US" w:eastAsia="zh-CN"/>
        </w:rPr>
      </w:pPr>
    </w:p>
    <w:p>
      <w:pPr>
        <w:rPr>
          <w:rFonts w:hint="eastAsia"/>
          <w:lang w:val="en-US" w:eastAsia="zh-CN"/>
        </w:rPr>
      </w:pPr>
    </w:p>
    <w:p>
      <w:pPr>
        <w:pStyle w:val="9"/>
        <w:rPr>
          <w:rFonts w:hint="eastAsia"/>
          <w:lang w:val="en-US" w:eastAsia="zh-CN"/>
        </w:rPr>
      </w:pPr>
    </w:p>
    <w:p>
      <w:pPr>
        <w:pStyle w:val="10"/>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9"/>
      </w:pPr>
    </w:p>
    <w:p>
      <w:pPr>
        <w:pStyle w:val="9"/>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pStyle w:val="9"/>
        <w:ind w:left="0" w:leftChars="0" w:firstLine="0" w:firstLineChars="0"/>
        <w:jc w:val="both"/>
      </w:pPr>
    </w:p>
    <w:p>
      <w:pPr>
        <w:pStyle w:val="10"/>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5</w:t>
      </w:r>
      <w:r>
        <w:rPr>
          <w:rFonts w:hint="eastAsia" w:ascii="宋体" w:hAnsi="宋体"/>
          <w:b/>
          <w:sz w:val="30"/>
          <w:szCs w:val="30"/>
        </w:rPr>
        <w:t xml:space="preserve">月 </w:t>
      </w:r>
    </w:p>
    <w:p>
      <w:pPr>
        <w:pStyle w:val="10"/>
        <w:ind w:left="0" w:leftChars="0" w:firstLine="0" w:firstLineChars="0"/>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9"/>
        <w:ind w:left="0" w:leftChars="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沈庄漾农民新村南区工程-室外总布劳务分包工程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default" w:ascii="宋体" w:hAnsi="宋体" w:eastAsia="宋体" w:cs="宋体"/>
          <w:b w:val="0"/>
          <w:bCs w:val="0"/>
          <w:color w:val="auto"/>
          <w:kern w:val="0"/>
          <w:sz w:val="21"/>
          <w:szCs w:val="21"/>
          <w:u w:val="none"/>
          <w:lang w:val="zh-CN" w:eastAsia="zh-CN" w:bidi="ar-SA"/>
        </w:rPr>
        <w:t>本工程</w:t>
      </w:r>
      <w:r>
        <w:rPr>
          <w:rFonts w:hint="eastAsia" w:ascii="宋体" w:hAnsi="宋体" w:eastAsia="宋体" w:cs="宋体"/>
          <w:b w:val="0"/>
          <w:bCs w:val="0"/>
          <w:color w:val="auto"/>
          <w:kern w:val="0"/>
          <w:sz w:val="21"/>
          <w:szCs w:val="21"/>
          <w:u w:val="none"/>
          <w:lang w:val="en-US" w:eastAsia="zh-CN" w:bidi="ar-SA"/>
        </w:rPr>
        <w:t>为沈庄漾农民新村南区工程-室外总布劳务分包工程</w:t>
      </w:r>
      <w:r>
        <w:rPr>
          <w:rFonts w:hint="eastAsia" w:ascii="宋体" w:hAnsi="宋体" w:cs="宋体"/>
          <w:color w:val="auto"/>
          <w:kern w:val="0"/>
          <w:sz w:val="21"/>
          <w:szCs w:val="21"/>
          <w:u w:val="none"/>
          <w:lang w:val="en-US" w:eastAsia="zh-CN"/>
        </w:rPr>
        <w:t>，</w:t>
      </w:r>
      <w:r>
        <w:rPr>
          <w:rFonts w:hint="eastAsia" w:ascii="宋体" w:hAnsi="宋体" w:eastAsia="宋体" w:cs="宋体"/>
          <w:b w:val="0"/>
          <w:bCs w:val="0"/>
          <w:color w:val="auto"/>
          <w:kern w:val="0"/>
          <w:sz w:val="21"/>
          <w:szCs w:val="21"/>
          <w:u w:val="none"/>
          <w:lang w:val="en-US" w:eastAsia="zh-CN" w:bidi="ar-SA"/>
        </w:rPr>
        <w:t>新建沈庄漾农民新村南区室外道路拓宽、车库进户坡道、进户门位置铺装（基层由乙方施工）、公共部位铺装、绿化土精整理、绿化种植、沥青摊铺、路沿石铺装、塑胶跑道、健身器材、充电桩以及管理用房的建设等</w:t>
      </w:r>
      <w:r>
        <w:rPr>
          <w:rFonts w:hint="eastAsia" w:ascii="宋体" w:hAnsi="宋体"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eastAsia="宋体" w:cs="宋体"/>
          <w:b w:val="0"/>
          <w:bCs w:val="0"/>
          <w:color w:val="auto"/>
          <w:kern w:val="0"/>
          <w:sz w:val="21"/>
          <w:szCs w:val="21"/>
          <w:u w:val="none"/>
          <w:lang w:val="en-US" w:eastAsia="zh-CN" w:bidi="ar-SA"/>
        </w:rPr>
        <w:t>图纸范围内的新建沈庄漾农民新村南区室外道路拓宽、车库进户坡道、进户门位置铺装（基层由乙方施工）、公共部位铺装、绿化土精整理、绿化种植、沥青摊铺、路沿石铺装、塑胶跑道、健身器材、充电桩以及管理用房的建设等，所有施工范围以图纸和招标人要求为准，直至满足功能性要求及设计单位、业主单位要求并达到竣工验收合格为止</w:t>
      </w:r>
      <w:r>
        <w:rPr>
          <w:rFonts w:hint="eastAsia" w:ascii="宋体" w:hAnsi="宋体" w:eastAsia="宋体"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沈庄漾农民新村南区工程-室外总布劳务分包工程</w:t>
      </w:r>
      <w:r>
        <w:rPr>
          <w:rFonts w:hint="eastAsia" w:ascii="宋体" w:hAnsi="宋体" w:cs="宋体"/>
          <w:kern w:val="0"/>
          <w:sz w:val="21"/>
          <w:szCs w:val="21"/>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ascii="宋体" w:hAnsi="宋体" w:eastAsia="宋体" w:cs="宋体"/>
          <w:b w:val="0"/>
          <w:bCs w:val="0"/>
          <w:color w:val="auto"/>
          <w:kern w:val="0"/>
          <w:sz w:val="21"/>
          <w:szCs w:val="21"/>
          <w:u w:val="none"/>
          <w:lang w:val="en-US" w:eastAsia="zh-CN" w:bidi="ar-SA"/>
        </w:rPr>
        <w:t>图纸范围内的新建沈庄漾农民新村南区室外道路拓宽、车库进户坡道、进户门位置铺装（基层由乙方施工）、公共部位铺装、绿化土精整理、绿化种植、沥青摊铺、路沿石铺装、塑胶跑道、健身器材、充电桩以及管理用房的建设等，所有施工范围以图纸和招标人要求为准，直至满足功能性要求及设计单位、业主单位要求并达到竣工验收合格为止</w:t>
      </w:r>
      <w:r>
        <w:rPr>
          <w:rFonts w:hint="eastAsia" w:ascii="宋体" w:hAnsi="宋体" w:eastAsia="宋体"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南浔区沈庄漾农民新村南区</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b/>
          <w:bCs/>
          <w:color w:val="0000FF"/>
          <w:spacing w:val="-1"/>
          <w:u w:val="none"/>
          <w:lang w:val="en-US" w:eastAsia="zh-CN"/>
        </w:rPr>
        <w:t>市政绿化劳务分包库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2022年5月7日至2022年5月9日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w:t>
      </w:r>
      <w:r>
        <w:rPr>
          <w:rFonts w:hint="eastAsia" w:ascii="宋体" w:hAnsi="宋体" w:cs="仿宋_GB2312"/>
          <w:kern w:val="0"/>
          <w:sz w:val="21"/>
          <w:szCs w:val="21"/>
          <w:lang w:val="en-US" w:eastAsia="zh-CN"/>
        </w:rPr>
        <w:t>二楼开标室</w:t>
      </w:r>
      <w:r>
        <w:rPr>
          <w:rFonts w:hint="eastAsia" w:ascii="宋体" w:hAnsi="宋体" w:cs="仿宋_GB2312"/>
          <w:kern w:val="0"/>
          <w:sz w:val="21"/>
          <w:szCs w:val="21"/>
        </w:rPr>
        <w:t>，投标文件采取书递交的形式，装订密封。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暂估价1050万元，其中劳务暂估价210万元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5.3投标时所附文件包括：</w:t>
      </w:r>
      <w:r>
        <w:rPr>
          <w:rFonts w:hint="eastAsia" w:ascii="宋体" w:hAnsi="宋体" w:cs="TimesNewRomanPSMT"/>
          <w:kern w:val="0"/>
          <w:sz w:val="21"/>
          <w:szCs w:val="21"/>
          <w:lang w:val="en-US" w:eastAsia="zh-CN"/>
        </w:rPr>
        <w:t>《索引表》、</w:t>
      </w:r>
      <w:r>
        <w:rPr>
          <w:rFonts w:hint="eastAsia" w:ascii="宋体" w:hAnsi="宋体" w:cs="TimesNewRomanPSMT"/>
          <w:kern w:val="0"/>
          <w:sz w:val="21"/>
          <w:szCs w:val="21"/>
        </w:rPr>
        <w:t>《投标函》</w:t>
      </w:r>
      <w:r>
        <w:rPr>
          <w:rFonts w:hint="eastAsia" w:ascii="宋体" w:hAnsi="宋体" w:cs="TimesNewRomanPSMT"/>
          <w:kern w:val="0"/>
          <w:sz w:val="21"/>
          <w:szCs w:val="21"/>
          <w:lang w:eastAsia="zh-CN"/>
        </w:rPr>
        <w:t>、</w:t>
      </w:r>
      <w:r>
        <w:rPr>
          <w:rFonts w:hint="eastAsia" w:ascii="宋体" w:hAnsi="宋体" w:cs="TimesNewRomanPSMT"/>
          <w:kern w:val="0"/>
          <w:sz w:val="21"/>
          <w:szCs w:val="21"/>
        </w:rPr>
        <w:t>《法人授权委托书》</w:t>
      </w:r>
      <w:r>
        <w:rPr>
          <w:rFonts w:hint="eastAsia" w:ascii="宋体" w:hAnsi="宋体" w:cs="TimesNewRomanPSMT"/>
          <w:kern w:val="0"/>
          <w:sz w:val="21"/>
          <w:szCs w:val="21"/>
          <w:lang w:eastAsia="zh-CN"/>
        </w:rPr>
        <w:t>、《</w:t>
      </w:r>
      <w:r>
        <w:rPr>
          <w:rFonts w:hint="eastAsia" w:ascii="宋体" w:hAnsi="宋体" w:cs="TimesNewRomanPSMT"/>
          <w:kern w:val="0"/>
          <w:sz w:val="21"/>
          <w:szCs w:val="21"/>
          <w:lang w:val="en-US" w:eastAsia="zh-CN"/>
        </w:rPr>
        <w:t>营业执照</w:t>
      </w:r>
      <w:r>
        <w:rPr>
          <w:rFonts w:hint="eastAsia" w:ascii="宋体" w:hAnsi="宋体" w:cs="TimesNewRomanPSMT"/>
          <w:kern w:val="0"/>
          <w:sz w:val="21"/>
          <w:szCs w:val="21"/>
          <w:lang w:eastAsia="zh-CN"/>
        </w:rPr>
        <w:t>》、</w:t>
      </w:r>
      <w:r>
        <w:rPr>
          <w:rFonts w:hint="eastAsia" w:ascii="宋体" w:hAnsi="宋体" w:cs="TimesNewRomanPSMT"/>
          <w:kern w:val="0"/>
          <w:sz w:val="21"/>
          <w:szCs w:val="21"/>
          <w:lang w:val="en-US" w:eastAsia="zh-CN"/>
        </w:rPr>
        <w:t>《企业资质》、《承诺函》、《分包项目管理人员表》、《项目管理组织机构》、《施工组织设计》、《重难点关键工程的施工方案》、《质量安全进度保障方案》、《信誉及业绩评价》、《投标人认为需要提交的其它资料》</w:t>
      </w:r>
      <w:r>
        <w:rPr>
          <w:rFonts w:hint="eastAsia" w:ascii="宋体" w:hAnsi="宋体" w:cs="TimesNewRomanPSMT"/>
          <w:kern w:val="0"/>
          <w:sz w:val="21"/>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9"/>
        <w:rPr>
          <w:rFonts w:hint="default"/>
          <w:lang w:val="en-US" w:eastAsia="zh-CN"/>
        </w:rPr>
      </w:pPr>
    </w:p>
    <w:p>
      <w:pPr>
        <w:pStyle w:val="10"/>
        <w:rPr>
          <w:rFonts w:hint="default"/>
          <w:lang w:val="en-US" w:eastAsia="zh-CN"/>
        </w:rPr>
      </w:pPr>
    </w:p>
    <w:p>
      <w:pPr>
        <w:pStyle w:val="10"/>
        <w:rPr>
          <w:rFonts w:hint="default"/>
          <w:lang w:val="en-US" w:eastAsia="zh-CN"/>
        </w:rPr>
      </w:pPr>
    </w:p>
    <w:p>
      <w:pPr>
        <w:pStyle w:val="10"/>
        <w:ind w:left="0" w:leftChars="0" w:firstLine="0" w:firstLineChars="0"/>
        <w:rPr>
          <w:rFonts w:hint="default"/>
          <w:lang w:val="en-US" w:eastAsia="zh-CN"/>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7"/>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3"/>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沈庄漾农民新村南区工程-室外总布劳务分包工程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textAlignment w:val="auto"/>
              <w:rPr>
                <w:rFonts w:hint="default" w:hAnsi="宋体"/>
                <w:color w:val="FF0000"/>
                <w:szCs w:val="21"/>
                <w:lang w:val="en-US"/>
              </w:rPr>
            </w:pPr>
            <w:r>
              <w:rPr>
                <w:rFonts w:hint="eastAsia" w:ascii="宋体" w:hAnsi="宋体" w:eastAsia="宋体" w:cs="宋体"/>
                <w:b w:val="0"/>
                <w:bCs w:val="0"/>
                <w:color w:val="auto"/>
                <w:kern w:val="0"/>
                <w:sz w:val="21"/>
                <w:szCs w:val="21"/>
                <w:u w:val="none"/>
                <w:lang w:val="en-US" w:eastAsia="zh-CN" w:bidi="ar-SA"/>
              </w:rPr>
              <w:t>图纸范围内的新建沈庄漾农民新村南区室外道路拓宽、车库进户坡道、进户门位置铺装（基层由乙方施工）、公共部位铺装、绿化土精整理、绿化种植、沥青摊铺、路沿石铺装、塑胶跑道、健身器材、充电桩以及管理用房的建设等，所有施工范围以图纸和招标人要求为准，直至满足功能性要求及设计单位、业主单位要求并达到竣工验收合格为止</w:t>
            </w:r>
            <w:r>
              <w:rPr>
                <w:rFonts w:hint="eastAsia" w:ascii="宋体" w:hAnsi="宋体" w:eastAsia="宋体" w:cs="宋体"/>
                <w:b w:val="0"/>
                <w:bCs w:val="0"/>
                <w:color w:val="FF0000"/>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ascii="宋体" w:hAnsi="宋体" w:eastAsia="宋体" w:cs="宋体"/>
                <w:b w:val="0"/>
                <w:bCs/>
                <w:sz w:val="21"/>
                <w:szCs w:val="21"/>
                <w:lang w:val="en-US" w:eastAsia="zh-CN"/>
              </w:rPr>
              <w:t>2022年5月20日前完工</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3"/>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以招标人要求为准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3"/>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5</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10</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color w:val="FF0000"/>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Cs w:val="21"/>
          <w:lang w:val="en-US" w:eastAsia="zh-CN"/>
        </w:rPr>
        <w:t>《索引表》、</w:t>
      </w:r>
      <w:r>
        <w:rPr>
          <w:rFonts w:hint="eastAsia" w:ascii="宋体" w:hAnsi="宋体" w:cs="仿宋_GB2312"/>
          <w:kern w:val="0"/>
          <w:sz w:val="21"/>
          <w:szCs w:val="21"/>
        </w:rPr>
        <w:t>《投标函》</w:t>
      </w:r>
      <w:r>
        <w:rPr>
          <w:rFonts w:hint="eastAsia" w:ascii="宋体" w:hAnsi="宋体" w:cs="仿宋_GB2312"/>
          <w:kern w:val="0"/>
          <w:sz w:val="21"/>
          <w:szCs w:val="21"/>
          <w:lang w:eastAsia="zh-CN"/>
        </w:rPr>
        <w:t>、</w:t>
      </w:r>
      <w:r>
        <w:rPr>
          <w:rFonts w:hint="eastAsia" w:ascii="宋体" w:hAnsi="宋体" w:cs="仿宋_GB2312"/>
          <w:kern w:val="0"/>
          <w:sz w:val="21"/>
          <w:szCs w:val="21"/>
        </w:rPr>
        <w:t>《法人授权委托书》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承诺函》、《分包项目管理人员表》、《项目管理组织机构》、《施工组织设计》、《重难点关键工程的施工方案》、《质量安全进度保障方案》、《信誉及业绩评价》、《投标人认为需要提交的其它资料》</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综合评分</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lang w:eastAsia="zh-CN"/>
        </w:rPr>
      </w:pPr>
      <w:r>
        <w:rPr>
          <w:rFonts w:ascii="宋体" w:hAnsi="宋体" w:cs="TimesNewRomanPSMT"/>
          <w:kern w:val="0"/>
          <w:szCs w:val="21"/>
        </w:rPr>
        <w:t xml:space="preserve">7.3 </w:t>
      </w:r>
      <w:r>
        <w:rPr>
          <w:rFonts w:hint="eastAsia" w:ascii="宋体" w:hAnsi="宋体" w:cs="黑体"/>
          <w:kern w:val="0"/>
          <w:szCs w:val="21"/>
        </w:rPr>
        <w:t>履约担保</w:t>
      </w:r>
      <w:r>
        <w:rPr>
          <w:rFonts w:hint="eastAsia" w:ascii="宋体" w:hAnsi="宋体" w:cs="黑体"/>
          <w:kern w:val="0"/>
          <w:szCs w:val="21"/>
          <w:lang w:eastAsia="zh-CN"/>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9"/>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52045575"/>
      <w:bookmarkStart w:id="3" w:name="_Toc246996962"/>
      <w:bookmarkStart w:id="4" w:name="_Toc179632593"/>
      <w:bookmarkStart w:id="5" w:name="_Toc144974543"/>
      <w:bookmarkStart w:id="6" w:name="_Toc152042351"/>
      <w:bookmarkStart w:id="7" w:name="_Toc296602462"/>
      <w:bookmarkStart w:id="8" w:name="_Toc296590983"/>
      <w:bookmarkStart w:id="9" w:name="_Toc247085733"/>
      <w:bookmarkStart w:id="10" w:name="_Toc246996219"/>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52042352"/>
      <w:bookmarkStart w:id="12" w:name="_Toc152045576"/>
      <w:bookmarkStart w:id="13" w:name="_Toc179632594"/>
      <w:bookmarkStart w:id="14" w:name="_Toc296602463"/>
      <w:bookmarkStart w:id="15" w:name="_Toc246996220"/>
      <w:bookmarkStart w:id="16" w:name="_Toc247085734"/>
      <w:bookmarkStart w:id="17" w:name="_Toc144974544"/>
      <w:bookmarkStart w:id="18" w:name="_Toc246996963"/>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964"/>
      <w:bookmarkStart w:id="20" w:name="_Toc152045577"/>
      <w:bookmarkStart w:id="21" w:name="_Toc179632595"/>
      <w:bookmarkStart w:id="22" w:name="_Toc296602464"/>
      <w:bookmarkStart w:id="23" w:name="_Toc144974545"/>
      <w:bookmarkStart w:id="24" w:name="_Toc246996221"/>
      <w:bookmarkStart w:id="25" w:name="_Toc152042353"/>
      <w:bookmarkStart w:id="26" w:name="_Toc24708573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79632596"/>
      <w:bookmarkStart w:id="28" w:name="_Toc246996965"/>
      <w:bookmarkStart w:id="29" w:name="_Toc246996222"/>
      <w:bookmarkStart w:id="30" w:name="_Toc247085736"/>
      <w:bookmarkStart w:id="31" w:name="_Toc152045578"/>
      <w:bookmarkStart w:id="32" w:name="_Toc296602465"/>
      <w:bookmarkStart w:id="33" w:name="_Toc152042354"/>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7085737"/>
      <w:bookmarkStart w:id="37" w:name="_Toc179632597"/>
      <w:bookmarkStart w:id="38" w:name="_Toc246996966"/>
      <w:bookmarkStart w:id="39" w:name="_Toc246996223"/>
      <w:bookmarkStart w:id="40" w:name="_Toc152045579"/>
      <w:bookmarkStart w:id="41" w:name="_Toc152042356"/>
      <w:bookmarkStart w:id="42" w:name="_Toc2966024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9"/>
        <w:rPr>
          <w:rFonts w:hint="eastAsia" w:ascii="宋体" w:hAnsi="宋体" w:cs="TimesNewRomanPSMT"/>
          <w:b/>
          <w:kern w:val="0"/>
          <w:szCs w:val="21"/>
          <w:lang w:val="en-US" w:eastAsia="zh-CN"/>
        </w:rPr>
      </w:pPr>
    </w:p>
    <w:p>
      <w:pPr>
        <w:pStyle w:val="10"/>
        <w:rPr>
          <w:rFonts w:hint="eastAsia"/>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p>
      <w:pPr>
        <w:pStyle w:val="9"/>
        <w:rPr>
          <w:rFonts w:hint="eastAsia"/>
        </w:rPr>
      </w:pPr>
    </w:p>
    <w:tbl>
      <w:tblPr>
        <w:tblStyle w:val="17"/>
        <w:tblpPr w:leftFromText="180" w:rightFromText="180" w:vertAnchor="text" w:horzAnchor="margin" w:tblpX="62" w:tblpY="-46"/>
        <w:tblOverlap w:val="never"/>
        <w:tblW w:w="10322" w:type="dxa"/>
        <w:tblInd w:w="0" w:type="dxa"/>
        <w:tblLayout w:type="fixed"/>
        <w:tblCellMar>
          <w:top w:w="0" w:type="dxa"/>
          <w:left w:w="108" w:type="dxa"/>
          <w:bottom w:w="0" w:type="dxa"/>
          <w:right w:w="108" w:type="dxa"/>
        </w:tblCellMar>
      </w:tblPr>
      <w:tblGrid>
        <w:gridCol w:w="744"/>
        <w:gridCol w:w="945"/>
        <w:gridCol w:w="2018"/>
        <w:gridCol w:w="840"/>
        <w:gridCol w:w="5775"/>
      </w:tblGrid>
      <w:tr>
        <w:tblPrEx>
          <w:tblCellMar>
            <w:top w:w="0" w:type="dxa"/>
            <w:left w:w="108" w:type="dxa"/>
            <w:bottom w:w="0" w:type="dxa"/>
            <w:right w:w="108" w:type="dxa"/>
          </w:tblCellMar>
        </w:tblPrEx>
        <w:trPr>
          <w:trHeight w:val="270"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评标标准说明</w:t>
            </w:r>
          </w:p>
        </w:tc>
      </w:tr>
      <w:tr>
        <w:tblPrEx>
          <w:tblCellMar>
            <w:top w:w="0" w:type="dxa"/>
            <w:left w:w="108" w:type="dxa"/>
            <w:bottom w:w="0" w:type="dxa"/>
            <w:right w:w="108" w:type="dxa"/>
          </w:tblCellMar>
        </w:tblPrEx>
        <w:trPr>
          <w:trHeight w:val="4188"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ascii="宋体" w:hAnsi="宋体" w:cs="宋体"/>
                <w:color w:val="auto"/>
                <w:kern w:val="0"/>
                <w:szCs w:val="21"/>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0-80</w:t>
            </w:r>
          </w:p>
        </w:tc>
        <w:tc>
          <w:tcPr>
            <w:tcW w:w="5775" w:type="dxa"/>
            <w:tcBorders>
              <w:top w:val="nil"/>
              <w:left w:val="nil"/>
              <w:bottom w:val="single" w:color="auto" w:sz="4" w:space="0"/>
              <w:right w:val="single" w:color="auto" w:sz="4" w:space="0"/>
            </w:tcBorders>
            <w:vAlign w:val="center"/>
          </w:tcPr>
          <w:p>
            <w:pPr>
              <w:widowControl/>
              <w:numPr>
                <w:ilvl w:val="0"/>
                <w:numId w:val="0"/>
              </w:numPr>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招标人在下列A、B、C、D中随机抽取一种或由内部招标工作领导小组商议决定一种作为最佳报价：</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A．有效投标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中的最低值和有效投标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中的次低值两者的平均值；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B．有效投标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中的平均值和有效投标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中的最低值两者的平均值；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C．有效投标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D．有效投标</w:t>
            </w:r>
            <w:r>
              <w:rPr>
                <w:rFonts w:hint="eastAsia" w:ascii="宋体" w:hAnsi="宋体" w:cs="宋体"/>
                <w:color w:val="000000"/>
                <w:sz w:val="21"/>
                <w:szCs w:val="21"/>
                <w:lang w:val="en-US" w:eastAsia="zh-CN"/>
              </w:rPr>
              <w:t>报价中</w:t>
            </w:r>
            <w:r>
              <w:rPr>
                <w:rFonts w:hint="eastAsia" w:ascii="宋体" w:hAnsi="宋体" w:eastAsia="宋体" w:cs="宋体"/>
                <w:color w:val="000000"/>
                <w:sz w:val="21"/>
                <w:szCs w:val="21"/>
                <w:lang w:val="zh-CN"/>
              </w:rPr>
              <w:t>去除最低值后的平均值（最低值如出现2个及以上相同的，则去除一个最低值后进行计算）。</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各有效投标报价与最佳报价进行比较，按以下公式求出百分比K值（保留小数点后一位，第二位四舍五入）：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K=（有效投标—最佳报价）÷最佳报价*100%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当K值等于零时，得100分；　　</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当K值大于零时，K值每增1%，在总分上扣</w:t>
            </w:r>
            <w:r>
              <w:rPr>
                <w:rFonts w:hint="eastAsia" w:ascii="宋体" w:hAnsi="宋体" w:cs="宋体"/>
                <w:color w:val="000000"/>
                <w:sz w:val="21"/>
                <w:szCs w:val="21"/>
                <w:lang w:val="en-US" w:eastAsia="zh-CN"/>
              </w:rPr>
              <w:t>0.05</w:t>
            </w:r>
            <w:r>
              <w:rPr>
                <w:rFonts w:hint="eastAsia" w:ascii="宋体" w:hAnsi="宋体" w:eastAsia="宋体" w:cs="宋体"/>
                <w:color w:val="000000"/>
                <w:sz w:val="21"/>
                <w:szCs w:val="21"/>
                <w:lang w:val="zh-CN"/>
              </w:rPr>
              <w:t>分；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当K值小于零时，K值每减1%，在总分上扣</w:t>
            </w:r>
            <w:r>
              <w:rPr>
                <w:rFonts w:hint="eastAsia" w:ascii="宋体" w:hAnsi="宋体" w:cs="宋体"/>
                <w:color w:val="000000"/>
                <w:sz w:val="21"/>
                <w:szCs w:val="21"/>
                <w:lang w:val="en-US" w:eastAsia="zh-CN"/>
              </w:rPr>
              <w:t>0.08</w:t>
            </w:r>
            <w:r>
              <w:rPr>
                <w:rFonts w:hint="eastAsia" w:ascii="宋体" w:hAnsi="宋体" w:eastAsia="宋体" w:cs="宋体"/>
                <w:color w:val="000000"/>
                <w:sz w:val="21"/>
                <w:szCs w:val="21"/>
                <w:lang w:val="zh-CN"/>
              </w:rPr>
              <w:t>分。　　</w:t>
            </w:r>
          </w:p>
          <w:p>
            <w:pPr>
              <w:widowControl/>
              <w:jc w:val="left"/>
              <w:rPr>
                <w:rFonts w:ascii="宋体" w:cs="宋体"/>
                <w:color w:val="auto"/>
                <w:kern w:val="0"/>
                <w:szCs w:val="21"/>
              </w:rPr>
            </w:pPr>
            <w:r>
              <w:rPr>
                <w:rFonts w:hint="eastAsia" w:ascii="宋体" w:hAnsi="宋体" w:eastAsia="宋体" w:cs="宋体"/>
                <w:color w:val="000000"/>
                <w:sz w:val="21"/>
                <w:szCs w:val="21"/>
                <w:lang w:val="zh-CN"/>
              </w:rPr>
              <w:t>各投标</w:t>
            </w:r>
            <w:r>
              <w:rPr>
                <w:rFonts w:hint="eastAsia" w:ascii="宋体" w:hAnsi="宋体" w:cs="宋体"/>
                <w:color w:val="000000"/>
                <w:sz w:val="21"/>
                <w:szCs w:val="21"/>
                <w:lang w:val="en-US" w:eastAsia="zh-CN"/>
              </w:rPr>
              <w:t>人</w:t>
            </w:r>
            <w:r>
              <w:rPr>
                <w:rFonts w:hint="eastAsia" w:ascii="宋体" w:hAnsi="宋体" w:eastAsia="宋体" w:cs="宋体"/>
                <w:color w:val="000000"/>
                <w:sz w:val="21"/>
                <w:szCs w:val="21"/>
                <w:lang w:val="zh-CN"/>
              </w:rPr>
              <w:t>最终价格得分=报价得分×</w:t>
            </w:r>
            <w:r>
              <w:rPr>
                <w:rFonts w:hint="eastAsia" w:ascii="宋体" w:hAnsi="宋体" w:cs="宋体"/>
                <w:color w:val="000000"/>
                <w:sz w:val="21"/>
                <w:szCs w:val="21"/>
                <w:lang w:val="en-US" w:eastAsia="zh-CN"/>
              </w:rPr>
              <w:t>80</w:t>
            </w:r>
            <w:r>
              <w:rPr>
                <w:rFonts w:hint="eastAsia" w:ascii="宋体" w:hAnsi="宋体" w:eastAsia="宋体" w:cs="宋体"/>
                <w:color w:val="000000"/>
                <w:sz w:val="21"/>
                <w:szCs w:val="21"/>
                <w:lang w:val="zh-CN"/>
              </w:rPr>
              <w:t>%</w:t>
            </w:r>
          </w:p>
        </w:tc>
      </w:tr>
      <w:tr>
        <w:tblPrEx>
          <w:tblCellMar>
            <w:top w:w="0" w:type="dxa"/>
            <w:left w:w="108" w:type="dxa"/>
            <w:bottom w:w="0" w:type="dxa"/>
            <w:right w:w="108" w:type="dxa"/>
          </w:tblCellMar>
        </w:tblPrEx>
        <w:trPr>
          <w:trHeight w:val="1072"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94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Cs/>
                <w:color w:val="auto"/>
                <w:szCs w:val="21"/>
                <w:lang w:eastAsia="zh-CN"/>
              </w:rPr>
            </w:pPr>
            <w:r>
              <w:rPr>
                <w:rFonts w:hint="eastAsia" w:ascii="宋体" w:hAnsi="宋体" w:cs="宋体"/>
                <w:color w:val="auto"/>
                <w:kern w:val="0"/>
                <w:szCs w:val="21"/>
                <w:lang w:val="en-US" w:eastAsia="zh-CN"/>
              </w:rPr>
              <w:t>其他</w:t>
            </w: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施工组织设计</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0-5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auto"/>
                <w:szCs w:val="21"/>
              </w:rPr>
              <w:t>不提供不得分。</w:t>
            </w:r>
          </w:p>
        </w:tc>
      </w:tr>
      <w:tr>
        <w:tblPrEx>
          <w:tblCellMar>
            <w:top w:w="0" w:type="dxa"/>
            <w:left w:w="108" w:type="dxa"/>
            <w:bottom w:w="0" w:type="dxa"/>
            <w:right w:w="108" w:type="dxa"/>
          </w:tblCellMar>
        </w:tblPrEx>
        <w:trPr>
          <w:trHeight w:val="1127"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szCs w:val="21"/>
                <w:lang w:val="en-US" w:eastAsia="zh-CN"/>
              </w:rPr>
              <w:t>重难点关键工程的施工方案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auto"/>
                <w:szCs w:val="21"/>
              </w:rPr>
              <w:t>不提供不得分。</w:t>
            </w:r>
          </w:p>
        </w:tc>
      </w:tr>
      <w:tr>
        <w:tblPrEx>
          <w:tblCellMar>
            <w:top w:w="0" w:type="dxa"/>
            <w:left w:w="108" w:type="dxa"/>
            <w:bottom w:w="0" w:type="dxa"/>
            <w:right w:w="108" w:type="dxa"/>
          </w:tblCellMar>
        </w:tblPrEx>
        <w:trPr>
          <w:trHeight w:val="955"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质量安全进度保障方案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szCs w:val="21"/>
                <w:lang w:eastAsia="zh-CN"/>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auto"/>
                <w:szCs w:val="21"/>
              </w:rPr>
              <w:t>不提供不得分</w:t>
            </w:r>
            <w:r>
              <w:rPr>
                <w:rFonts w:hint="default" w:ascii="宋体" w:hAnsi="宋体" w:eastAsia="宋体" w:cs="宋体"/>
                <w:color w:val="000000"/>
                <w:sz w:val="21"/>
                <w:szCs w:val="21"/>
                <w:lang w:val="zh-CN"/>
              </w:rPr>
              <w:t>。</w:t>
            </w:r>
          </w:p>
        </w:tc>
      </w:tr>
      <w:tr>
        <w:tblPrEx>
          <w:tblCellMar>
            <w:top w:w="0" w:type="dxa"/>
            <w:left w:w="108" w:type="dxa"/>
            <w:bottom w:w="0" w:type="dxa"/>
            <w:right w:w="108" w:type="dxa"/>
          </w:tblCellMar>
        </w:tblPrEx>
        <w:trPr>
          <w:trHeight w:val="1126"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bCs/>
                <w:color w:val="auto"/>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信誉及业绩评价</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zCs w:val="21"/>
              </w:rPr>
            </w:pPr>
            <w:r>
              <w:rPr>
                <w:rFonts w:hint="eastAsia" w:ascii="宋体" w:hAnsi="宋体" w:cs="宋体"/>
                <w:color w:val="auto"/>
                <w:szCs w:val="21"/>
              </w:rPr>
              <w:t>根据投标人签订合同时间为201</w:t>
            </w:r>
            <w:r>
              <w:rPr>
                <w:rFonts w:hint="eastAsia" w:ascii="宋体" w:hAnsi="宋体" w:cs="宋体"/>
                <w:color w:val="auto"/>
                <w:szCs w:val="21"/>
                <w:lang w:val="en-US" w:eastAsia="zh-CN"/>
              </w:rPr>
              <w:t>9</w:t>
            </w:r>
            <w:r>
              <w:rPr>
                <w:rFonts w:hint="eastAsia" w:ascii="宋体" w:hAnsi="宋体" w:cs="宋体"/>
                <w:color w:val="auto"/>
                <w:szCs w:val="21"/>
              </w:rPr>
              <w:t>年1月1日至今同类业绩合同进行评定：每提供一个同类项目合同得1分，最多得</w:t>
            </w:r>
            <w:r>
              <w:rPr>
                <w:rFonts w:hint="eastAsia" w:ascii="宋体" w:hAnsi="宋体" w:cs="宋体"/>
                <w:color w:val="auto"/>
                <w:szCs w:val="21"/>
                <w:lang w:val="en-US" w:eastAsia="zh-CN"/>
              </w:rPr>
              <w:t>5</w:t>
            </w:r>
            <w:r>
              <w:rPr>
                <w:rFonts w:hint="eastAsia" w:ascii="宋体" w:hAnsi="宋体" w:cs="宋体"/>
                <w:color w:val="auto"/>
                <w:szCs w:val="21"/>
              </w:rPr>
              <w:t>分。</w:t>
            </w:r>
          </w:p>
          <w:p>
            <w:pPr>
              <w:widowControl/>
              <w:jc w:val="left"/>
              <w:rPr>
                <w:rFonts w:hint="eastAsia" w:ascii="宋体" w:hAnsi="宋体" w:eastAsia="宋体" w:cs="宋体"/>
                <w:color w:val="auto"/>
                <w:szCs w:val="21"/>
                <w:lang w:eastAsia="zh-CN"/>
              </w:rPr>
            </w:pPr>
            <w:r>
              <w:rPr>
                <w:rFonts w:hint="eastAsia" w:ascii="宋体" w:hAnsi="宋体" w:cs="宋体"/>
                <w:color w:val="auto"/>
                <w:szCs w:val="21"/>
              </w:rPr>
              <w:t>提供合同复印件加盖公章</w:t>
            </w:r>
            <w:r>
              <w:rPr>
                <w:rFonts w:hint="eastAsia" w:ascii="宋体" w:hAnsi="宋体" w:cs="宋体"/>
                <w:color w:val="auto"/>
                <w:szCs w:val="21"/>
                <w:lang w:eastAsia="zh-CN"/>
              </w:rPr>
              <w:t>，</w:t>
            </w:r>
            <w:r>
              <w:rPr>
                <w:rFonts w:hint="eastAsia" w:ascii="宋体" w:hAnsi="宋体" w:cs="宋体"/>
                <w:color w:val="auto"/>
                <w:szCs w:val="21"/>
              </w:rPr>
              <w:t>不提供不得分</w:t>
            </w:r>
            <w:r>
              <w:rPr>
                <w:rFonts w:hint="eastAsia" w:ascii="宋体" w:hAnsi="宋体" w:cs="宋体"/>
                <w:color w:val="auto"/>
                <w:szCs w:val="21"/>
                <w:lang w:eastAsia="zh-CN"/>
              </w:rPr>
              <w:t>。</w:t>
            </w:r>
          </w:p>
        </w:tc>
      </w:tr>
    </w:tbl>
    <w:p>
      <w:pPr>
        <w:pStyle w:val="10"/>
        <w:ind w:left="0" w:leftChars="0" w:firstLine="0" w:firstLineChars="0"/>
        <w:rPr>
          <w:rFonts w:hint="eastAsia"/>
        </w:rPr>
      </w:pPr>
      <w:r>
        <w:rPr>
          <w:rFonts w:hint="eastAsia" w:ascii="宋体" w:hAnsi="宋体" w:cs="仿宋_GB2312"/>
          <w:color w:val="auto"/>
          <w:kern w:val="0"/>
          <w:szCs w:val="21"/>
        </w:rPr>
        <w:t>本次评分办法为综合评分法，满分</w:t>
      </w:r>
      <w:r>
        <w:rPr>
          <w:rFonts w:ascii="宋体" w:hAnsi="宋体" w:cs="仿宋_GB2312"/>
          <w:color w:val="auto"/>
          <w:kern w:val="0"/>
          <w:szCs w:val="21"/>
        </w:rPr>
        <w:t>100</w:t>
      </w:r>
      <w:r>
        <w:rPr>
          <w:rFonts w:hint="eastAsia" w:ascii="宋体" w:hAnsi="宋体" w:cs="仿宋_GB2312"/>
          <w:color w:val="auto"/>
          <w:kern w:val="0"/>
          <w:szCs w:val="21"/>
        </w:rPr>
        <w:t>分，其中报价</w:t>
      </w:r>
      <w:r>
        <w:rPr>
          <w:rFonts w:hint="eastAsia" w:ascii="宋体" w:hAnsi="宋体" w:cs="仿宋_GB2312"/>
          <w:color w:val="auto"/>
          <w:kern w:val="0"/>
          <w:szCs w:val="21"/>
          <w:u w:val="single"/>
        </w:rPr>
        <w:t>80</w:t>
      </w:r>
      <w:r>
        <w:rPr>
          <w:rFonts w:hint="eastAsia" w:ascii="宋体" w:hAnsi="宋体" w:cs="仿宋_GB2312"/>
          <w:color w:val="auto"/>
          <w:kern w:val="0"/>
          <w:szCs w:val="21"/>
        </w:rPr>
        <w:t>分，其他</w:t>
      </w:r>
      <w:r>
        <w:rPr>
          <w:rFonts w:hint="eastAsia" w:ascii="宋体" w:hAnsi="宋体" w:cs="仿宋_GB2312"/>
          <w:color w:val="auto"/>
          <w:kern w:val="0"/>
          <w:szCs w:val="21"/>
          <w:u w:val="single"/>
        </w:rPr>
        <w:t>20</w:t>
      </w:r>
      <w:r>
        <w:rPr>
          <w:rFonts w:hint="eastAsia" w:ascii="宋体" w:hAnsi="宋体" w:cs="仿宋_GB2312"/>
          <w:color w:val="auto"/>
          <w:kern w:val="0"/>
          <w:szCs w:val="21"/>
        </w:rPr>
        <w:t>分。</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both"/>
        <w:rPr>
          <w:rFonts w:hint="eastAsia" w:ascii="宋体" w:hAnsi="宋体" w:cs="TimesNewRomanPSMT"/>
          <w:b/>
          <w:kern w:val="0"/>
          <w:szCs w:val="21"/>
        </w:rPr>
      </w:pPr>
    </w:p>
    <w:p>
      <w:pPr>
        <w:pStyle w:val="9"/>
        <w:rPr>
          <w:rFonts w:hint="eastAsia" w:ascii="宋体" w:hAnsi="宋体" w:cs="TimesNewRomanPSMT"/>
          <w:b/>
          <w:kern w:val="0"/>
          <w:szCs w:val="21"/>
        </w:rPr>
      </w:pPr>
    </w:p>
    <w:p>
      <w:pPr>
        <w:pStyle w:val="10"/>
        <w:rPr>
          <w:rFonts w:hint="eastAsia" w:ascii="宋体" w:hAnsi="宋体" w:cs="TimesNewRomanPSMT"/>
          <w:b/>
          <w:kern w:val="0"/>
          <w:szCs w:val="21"/>
        </w:rPr>
      </w:pPr>
    </w:p>
    <w:p>
      <w:pPr>
        <w:pStyle w:val="9"/>
        <w:ind w:left="0" w:leftChars="0" w:firstLine="0" w:firstLineChars="0"/>
        <w:jc w:val="both"/>
        <w:rPr>
          <w:rFonts w:hint="eastAsia"/>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none"/>
        </w:rPr>
        <w:t>审计结算价</w:t>
      </w:r>
      <w:r>
        <w:rPr>
          <w:rFonts w:hint="eastAsia" w:ascii="宋体" w:hAnsi="宋体" w:cs="TimesNewRomanPSMT"/>
          <w:b/>
          <w:bCs/>
          <w:color w:val="0000FF"/>
          <w:szCs w:val="21"/>
          <w:u w:val="non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hint="eastAsia" w:ascii="宋体" w:hAnsi="宋体" w:eastAsia="宋体" w:cs="TimesNewRomanPSMT"/>
          <w:b/>
          <w:bCs/>
          <w:kern w:val="0"/>
          <w:szCs w:val="21"/>
          <w:lang w:eastAsia="zh-CN"/>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color w:val="0000FF"/>
          <w:kern w:val="0"/>
          <w:sz w:val="21"/>
          <w:szCs w:val="21"/>
          <w:u w:val="single"/>
          <w:lang w:val="en-US" w:eastAsia="zh-CN"/>
        </w:rPr>
        <w:t xml:space="preserve">沥青、混凝土、标准砖、侧平石、碎石、水泥砂浆、苗木、灯具、电缆等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r>
        <w:rPr>
          <w:rFonts w:hint="eastAsia" w:ascii="宋体" w:hAnsi="宋体" w:cs="TimesNewRomanPSMT"/>
          <w:b/>
          <w:bCs/>
          <w:kern w:val="0"/>
          <w:szCs w:val="21"/>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w:t>
      </w:r>
      <w:r>
        <w:rPr>
          <w:rFonts w:hint="eastAsia" w:ascii="宋体" w:hAnsi="宋体" w:cs="TimesNewRomanPSMT"/>
          <w:b w:val="0"/>
          <w:bCs w:val="0"/>
          <w:kern w:val="0"/>
          <w:szCs w:val="21"/>
          <w:lang w:val="en-US" w:eastAsia="zh-CN"/>
        </w:rPr>
        <w:t>见2.7.2</w:t>
      </w:r>
      <w:r>
        <w:rPr>
          <w:rFonts w:hint="eastAsia" w:ascii="宋体" w:hAnsi="宋体" w:cs="TimesNewRomanPSMT"/>
          <w:b w:val="0"/>
          <w:bCs w:val="0"/>
          <w:kern w:val="0"/>
          <w:szCs w:val="21"/>
        </w:rPr>
        <w:t>进度款支付比例</w:t>
      </w:r>
      <w:r>
        <w:rPr>
          <w:rFonts w:hint="eastAsia" w:ascii="宋体" w:hAnsi="宋体" w:cs="TimesNewRomanPSMT"/>
          <w:kern w:val="0"/>
          <w:szCs w:val="21"/>
        </w:rPr>
        <w:t>。</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val="0"/>
          <w:bCs w:val="0"/>
          <w:kern w:val="0"/>
          <w:szCs w:val="21"/>
        </w:rPr>
      </w:pPr>
      <w:r>
        <w:rPr>
          <w:rFonts w:hint="eastAsia" w:ascii="宋体" w:hAnsi="宋体" w:cs="TimesNewRomanPSMT"/>
          <w:b w:val="0"/>
          <w:bCs w:val="0"/>
          <w:kern w:val="0"/>
          <w:szCs w:val="21"/>
          <w:lang w:val="en-US" w:eastAsia="zh-CN"/>
        </w:rPr>
        <w:t>2.7.2</w:t>
      </w:r>
      <w:r>
        <w:rPr>
          <w:rFonts w:hint="eastAsia" w:ascii="宋体" w:hAnsi="宋体" w:cs="TimesNewRomanPSMT"/>
          <w:b w:val="0"/>
          <w:bCs w:val="0"/>
          <w:kern w:val="0"/>
          <w:szCs w:val="21"/>
        </w:rPr>
        <w:t>进度款支付比例：</w:t>
      </w:r>
    </w:p>
    <w:p>
      <w:pPr>
        <w:spacing w:line="240" w:lineRule="auto"/>
        <w:rPr>
          <w:rFonts w:hint="eastAsia" w:ascii="宋体" w:hAnsi="宋体" w:eastAsia="宋体" w:cs="宋体"/>
          <w:b w:val="0"/>
          <w:bCs/>
          <w:color w:val="FF0000"/>
          <w:kern w:val="2"/>
          <w:sz w:val="21"/>
          <w:szCs w:val="21"/>
          <w:u w:val="none"/>
          <w:lang w:val="en-US" w:eastAsia="zh-CN" w:bidi="ar-SA"/>
        </w:rPr>
      </w:pPr>
      <w:r>
        <w:rPr>
          <w:rFonts w:hint="eastAsia" w:ascii="宋体" w:hAnsi="宋体" w:cs="TimesNewRomanPSMT"/>
          <w:b/>
          <w:bCs/>
          <w:color w:val="FF0000"/>
          <w:kern w:val="0"/>
          <w:szCs w:val="21"/>
          <w:u w:val="none"/>
        </w:rPr>
        <w:t>费用支付方式：</w:t>
      </w:r>
      <w:r>
        <w:rPr>
          <w:rFonts w:hint="eastAsia" w:ascii="宋体" w:hAnsi="宋体" w:cs="TimesNewRomanPSMT"/>
          <w:b w:val="0"/>
          <w:bCs w:val="0"/>
          <w:color w:val="FF0000"/>
          <w:kern w:val="0"/>
          <w:szCs w:val="21"/>
          <w:u w:val="none"/>
          <w:lang w:val="en-US" w:eastAsia="zh-CN"/>
        </w:rPr>
        <w:t>1、</w:t>
      </w:r>
      <w:r>
        <w:rPr>
          <w:rFonts w:hint="eastAsia" w:ascii="宋体" w:hAnsi="宋体" w:eastAsia="宋体" w:cs="宋体"/>
          <w:b w:val="0"/>
          <w:bCs/>
          <w:color w:val="FF0000"/>
          <w:kern w:val="2"/>
          <w:sz w:val="21"/>
          <w:szCs w:val="21"/>
          <w:u w:val="none"/>
          <w:lang w:val="en-US" w:eastAsia="zh-CN" w:bidi="ar-SA"/>
        </w:rPr>
        <w:t>合同签订后支付合同价20%的预付款，月进度款为当月完成工程量经跟踪审计审核产值的60%（含预付款），工程竣工验收完成</w:t>
      </w:r>
      <w:r>
        <w:rPr>
          <w:rFonts w:hint="eastAsia" w:ascii="宋体" w:hAnsi="宋体" w:cs="宋体"/>
          <w:b w:val="0"/>
          <w:bCs/>
          <w:color w:val="FF0000"/>
          <w:kern w:val="2"/>
          <w:sz w:val="21"/>
          <w:szCs w:val="21"/>
          <w:u w:val="none"/>
          <w:lang w:val="en-US" w:eastAsia="zh-CN" w:bidi="ar-SA"/>
        </w:rPr>
        <w:t>凭</w:t>
      </w:r>
      <w:r>
        <w:rPr>
          <w:rFonts w:hint="eastAsia" w:ascii="宋体" w:hAnsi="宋体" w:eastAsia="宋体" w:cs="宋体"/>
          <w:b w:val="0"/>
          <w:bCs/>
          <w:color w:val="FF0000"/>
          <w:kern w:val="2"/>
          <w:sz w:val="21"/>
          <w:szCs w:val="21"/>
          <w:u w:val="none"/>
          <w:lang w:val="en-US" w:eastAsia="zh-CN" w:bidi="ar-SA"/>
        </w:rPr>
        <w:t>结算资料送至</w:t>
      </w:r>
      <w:r>
        <w:rPr>
          <w:rFonts w:hint="eastAsia" w:ascii="宋体" w:hAnsi="宋体" w:cs="宋体"/>
          <w:b w:val="0"/>
          <w:bCs/>
          <w:color w:val="FF0000"/>
          <w:kern w:val="2"/>
          <w:sz w:val="21"/>
          <w:szCs w:val="21"/>
          <w:u w:val="none"/>
          <w:lang w:val="en-US" w:eastAsia="zh-CN" w:bidi="ar-SA"/>
        </w:rPr>
        <w:t>招标单位</w:t>
      </w:r>
      <w:r>
        <w:rPr>
          <w:rFonts w:hint="eastAsia" w:ascii="宋体" w:hAnsi="宋体" w:eastAsia="宋体" w:cs="宋体"/>
          <w:b w:val="0"/>
          <w:bCs/>
          <w:color w:val="FF0000"/>
          <w:kern w:val="2"/>
          <w:sz w:val="21"/>
          <w:szCs w:val="21"/>
          <w:u w:val="none"/>
          <w:lang w:val="en-US" w:eastAsia="zh-CN" w:bidi="ar-SA"/>
        </w:rPr>
        <w:t>后付至经跟踪审计审核产值的75%，审计完成后支付至审定结算价款</w:t>
      </w:r>
      <w:r>
        <w:rPr>
          <w:rFonts w:hint="eastAsia" w:ascii="宋体" w:hAnsi="宋体" w:cs="宋体"/>
          <w:b w:val="0"/>
          <w:bCs/>
          <w:color w:val="FF0000"/>
          <w:kern w:val="2"/>
          <w:sz w:val="21"/>
          <w:szCs w:val="21"/>
          <w:u w:val="none"/>
          <w:lang w:val="en-US" w:eastAsia="zh-CN" w:bidi="ar-SA"/>
        </w:rPr>
        <w:t>下浮后的</w:t>
      </w:r>
      <w:r>
        <w:rPr>
          <w:rFonts w:hint="eastAsia" w:ascii="宋体" w:hAnsi="宋体" w:eastAsia="宋体" w:cs="宋体"/>
          <w:b w:val="0"/>
          <w:bCs/>
          <w:color w:val="FF0000"/>
          <w:kern w:val="2"/>
          <w:sz w:val="21"/>
          <w:szCs w:val="21"/>
          <w:u w:val="none"/>
          <w:lang w:val="en-US" w:eastAsia="zh-CN" w:bidi="ar-SA"/>
        </w:rPr>
        <w:t>95%,剩余款项于质保期届满后一个月内付清。</w:t>
      </w:r>
    </w:p>
    <w:p>
      <w:pPr>
        <w:spacing w:line="240" w:lineRule="auto"/>
        <w:rPr>
          <w:rFonts w:hint="eastAsia" w:ascii="宋体" w:hAnsi="宋体" w:eastAsia="宋体" w:cs="宋体"/>
          <w:b w:val="0"/>
          <w:bCs/>
          <w:color w:val="FF0000"/>
          <w:kern w:val="2"/>
          <w:sz w:val="21"/>
          <w:szCs w:val="21"/>
          <w:u w:val="none"/>
          <w:lang w:val="en-US" w:eastAsia="zh-CN" w:bidi="ar-SA"/>
        </w:rPr>
      </w:pPr>
      <w:r>
        <w:rPr>
          <w:rFonts w:hint="eastAsia" w:ascii="宋体" w:hAnsi="宋体" w:eastAsia="宋体" w:cs="宋体"/>
          <w:b w:val="0"/>
          <w:bCs/>
          <w:color w:val="FF0000"/>
          <w:kern w:val="2"/>
          <w:sz w:val="21"/>
          <w:szCs w:val="21"/>
          <w:u w:val="none"/>
          <w:lang w:val="en-US" w:eastAsia="zh-CN" w:bidi="ar-SA"/>
        </w:rPr>
        <w:t>2、</w:t>
      </w:r>
      <w:bookmarkStart w:id="45" w:name="_GoBack"/>
      <w:bookmarkEnd w:id="45"/>
      <w:r>
        <w:rPr>
          <w:rFonts w:hint="eastAsia" w:ascii="宋体" w:hAnsi="宋体" w:eastAsia="宋体" w:cs="宋体"/>
          <w:b w:val="0"/>
          <w:bCs/>
          <w:color w:val="FF0000"/>
          <w:kern w:val="2"/>
          <w:sz w:val="21"/>
          <w:szCs w:val="21"/>
          <w:u w:val="none"/>
          <w:lang w:val="en-US" w:eastAsia="zh-CN" w:bidi="ar-SA"/>
        </w:rPr>
        <w:t>上报结算的计价方式完全按照《湖州市南浔区硬长桥及丁家桥片区安置房、沈庄漾农民新村、联谊村新荡农民新村EPC总承包项目合同》中约定的计价方式。</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9"/>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9"/>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9"/>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9"/>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9"/>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9"/>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；⑤承包人的项目负责人应常驻现场，且每月在现场时间不少于本月施工时间的80%，项目负责人每月到位天数不少于本月施工时间的80%，按照发包人考勤结果每少一天向发包人支付违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；除项目负责人以外其他人员：施工负责人和质量安全负责人每月到位天数不少于本月施工时间的80%，采购负责人每月到位天数不少于本月施工时间的</w:t>
      </w:r>
      <w:r>
        <w:rPr>
          <w:rFonts w:hint="eastAsia" w:ascii="宋体" w:hAnsi="宋体"/>
          <w:b w:val="0"/>
          <w:bCs/>
          <w:color w:val="00B050"/>
          <w:szCs w:val="21"/>
          <w:lang w:val="en-US" w:eastAsia="zh-CN"/>
        </w:rPr>
        <w:t>40</w:t>
      </w:r>
      <w:r>
        <w:rPr>
          <w:rFonts w:hint="eastAsia" w:ascii="宋体" w:hAnsi="宋体"/>
          <w:b w:val="0"/>
          <w:bCs/>
          <w:color w:val="00B050"/>
          <w:szCs w:val="21"/>
        </w:rPr>
        <w:t>%，按照发包人考勤结果每少一天向发包人支付违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9"/>
        <w:ind w:left="0" w:leftChars="0" w:firstLine="0" w:firstLineChars="0"/>
        <w:jc w:val="both"/>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rPr>
          <w:rFonts w:hint="eastAsia"/>
        </w:rPr>
      </w:pPr>
    </w:p>
    <w:p>
      <w:pPr>
        <w:pStyle w:val="16"/>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lang w:val="en-US" w:eastAsia="zh-CN"/>
        </w:rPr>
        <w:t>劳务承包合同</w:t>
      </w:r>
    </w:p>
    <w:p>
      <w:pPr>
        <w:pStyle w:val="9"/>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9"/>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9"/>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spacing w:line="240" w:lineRule="auto"/>
        <w:ind w:firstLine="420" w:firstLineChars="200"/>
        <w:rPr>
          <w:rFonts w:hint="eastAsia" w:ascii="宋体" w:hAnsi="宋体" w:eastAsia="宋体" w:cs="宋体"/>
          <w:b w:val="0"/>
          <w:bCs/>
          <w:color w:val="auto"/>
          <w:kern w:val="2"/>
          <w:sz w:val="21"/>
          <w:szCs w:val="21"/>
          <w:u w:val="none"/>
          <w:lang w:val="en-US" w:eastAsia="zh-CN" w:bidi="ar-SA"/>
        </w:rPr>
      </w:pPr>
      <w:r>
        <w:rPr>
          <w:rFonts w:hint="eastAsia" w:ascii="宋体" w:hAnsi="宋体" w:cs="TimesNewRomanPSMT"/>
          <w:b w:val="0"/>
          <w:bCs w:val="0"/>
          <w:color w:val="auto"/>
          <w:kern w:val="0"/>
          <w:szCs w:val="21"/>
          <w:u w:val="none"/>
          <w:lang w:val="en-US" w:eastAsia="zh-CN"/>
        </w:rPr>
        <w:t>1.</w:t>
      </w:r>
      <w:r>
        <w:rPr>
          <w:rFonts w:hint="eastAsia" w:ascii="宋体" w:hAnsi="宋体" w:eastAsia="宋体" w:cs="宋体"/>
          <w:b w:val="0"/>
          <w:bCs/>
          <w:color w:val="auto"/>
          <w:kern w:val="2"/>
          <w:sz w:val="21"/>
          <w:szCs w:val="21"/>
          <w:u w:val="none"/>
          <w:lang w:val="en-US" w:eastAsia="zh-CN" w:bidi="ar-SA"/>
        </w:rPr>
        <w:t>合同签订后支付合同价20%的预付款，月进度款为当月完成工程量经跟踪审计审核产值的60%（含预付款），工程竣工验收完成</w:t>
      </w:r>
      <w:r>
        <w:rPr>
          <w:rFonts w:hint="eastAsia" w:ascii="宋体" w:hAnsi="宋体" w:cs="宋体"/>
          <w:b w:val="0"/>
          <w:bCs/>
          <w:color w:val="auto"/>
          <w:kern w:val="2"/>
          <w:sz w:val="21"/>
          <w:szCs w:val="21"/>
          <w:u w:val="none"/>
          <w:lang w:val="en-US" w:eastAsia="zh-CN" w:bidi="ar-SA"/>
        </w:rPr>
        <w:t>凭</w:t>
      </w:r>
      <w:r>
        <w:rPr>
          <w:rFonts w:hint="eastAsia" w:ascii="宋体" w:hAnsi="宋体" w:eastAsia="宋体" w:cs="宋体"/>
          <w:b w:val="0"/>
          <w:bCs/>
          <w:color w:val="auto"/>
          <w:kern w:val="2"/>
          <w:sz w:val="21"/>
          <w:szCs w:val="21"/>
          <w:u w:val="none"/>
          <w:lang w:val="en-US" w:eastAsia="zh-CN" w:bidi="ar-SA"/>
        </w:rPr>
        <w:t>结算资料送至</w:t>
      </w:r>
      <w:r>
        <w:rPr>
          <w:rFonts w:hint="eastAsia" w:ascii="宋体" w:hAnsi="宋体" w:cs="宋体"/>
          <w:b w:val="0"/>
          <w:bCs/>
          <w:color w:val="auto"/>
          <w:kern w:val="2"/>
          <w:sz w:val="21"/>
          <w:szCs w:val="21"/>
          <w:u w:val="none"/>
          <w:lang w:val="en-US" w:eastAsia="zh-CN" w:bidi="ar-SA"/>
        </w:rPr>
        <w:t>招标单位</w:t>
      </w:r>
      <w:r>
        <w:rPr>
          <w:rFonts w:hint="eastAsia" w:ascii="宋体" w:hAnsi="宋体" w:eastAsia="宋体" w:cs="宋体"/>
          <w:b w:val="0"/>
          <w:bCs/>
          <w:color w:val="auto"/>
          <w:kern w:val="2"/>
          <w:sz w:val="21"/>
          <w:szCs w:val="21"/>
          <w:u w:val="none"/>
          <w:lang w:val="en-US" w:eastAsia="zh-CN" w:bidi="ar-SA"/>
        </w:rPr>
        <w:t>后付至经跟踪审计审核产值的75%，审计完成后支付至审定结算价款</w:t>
      </w:r>
      <w:r>
        <w:rPr>
          <w:rFonts w:hint="eastAsia" w:ascii="宋体" w:hAnsi="宋体" w:cs="宋体"/>
          <w:b w:val="0"/>
          <w:bCs/>
          <w:color w:val="auto"/>
          <w:kern w:val="2"/>
          <w:sz w:val="21"/>
          <w:szCs w:val="21"/>
          <w:u w:val="none"/>
          <w:lang w:val="en-US" w:eastAsia="zh-CN" w:bidi="ar-SA"/>
        </w:rPr>
        <w:t>下浮后的</w:t>
      </w:r>
      <w:r>
        <w:rPr>
          <w:rFonts w:hint="eastAsia" w:ascii="宋体" w:hAnsi="宋体" w:eastAsia="宋体" w:cs="宋体"/>
          <w:b w:val="0"/>
          <w:bCs/>
          <w:color w:val="auto"/>
          <w:kern w:val="2"/>
          <w:sz w:val="21"/>
          <w:szCs w:val="21"/>
          <w:u w:val="none"/>
          <w:lang w:val="en-US" w:eastAsia="zh-CN" w:bidi="ar-SA"/>
        </w:rPr>
        <w:t>95%,剩余款项于质保期届满后一个月内付清。</w:t>
      </w:r>
    </w:p>
    <w:p>
      <w:pPr>
        <w:spacing w:line="240" w:lineRule="auto"/>
        <w:ind w:firstLine="420" w:firstLineChars="200"/>
        <w:rPr>
          <w:rFonts w:hint="eastAsia" w:ascii="宋体" w:hAnsi="宋体" w:eastAsia="宋体" w:cs="宋体"/>
          <w:b w:val="0"/>
          <w:bCs/>
          <w:color w:val="auto"/>
          <w:kern w:val="2"/>
          <w:sz w:val="21"/>
          <w:szCs w:val="21"/>
          <w:u w:val="none"/>
          <w:lang w:val="en-US" w:eastAsia="zh-CN" w:bidi="ar-SA"/>
        </w:rPr>
      </w:pPr>
      <w:r>
        <w:rPr>
          <w:rFonts w:hint="eastAsia" w:ascii="宋体" w:hAnsi="宋体" w:eastAsia="宋体" w:cs="宋体"/>
          <w:b w:val="0"/>
          <w:bCs/>
          <w:color w:val="auto"/>
          <w:kern w:val="2"/>
          <w:sz w:val="21"/>
          <w:szCs w:val="21"/>
          <w:u w:val="none"/>
          <w:lang w:val="en-US" w:eastAsia="zh-CN" w:bidi="ar-SA"/>
        </w:rPr>
        <w:t>2</w:t>
      </w:r>
      <w:r>
        <w:rPr>
          <w:rFonts w:hint="eastAsia" w:ascii="宋体" w:hAnsi="宋体" w:cs="宋体"/>
          <w:b w:val="0"/>
          <w:bCs/>
          <w:color w:val="auto"/>
          <w:kern w:val="2"/>
          <w:sz w:val="21"/>
          <w:szCs w:val="21"/>
          <w:u w:val="none"/>
          <w:lang w:val="en-US" w:eastAsia="zh-CN" w:bidi="ar-SA"/>
        </w:rPr>
        <w:t>.中标单位</w:t>
      </w:r>
      <w:r>
        <w:rPr>
          <w:rFonts w:hint="eastAsia" w:ascii="宋体" w:hAnsi="宋体" w:eastAsia="宋体" w:cs="宋体"/>
          <w:b w:val="0"/>
          <w:bCs/>
          <w:color w:val="auto"/>
          <w:kern w:val="2"/>
          <w:sz w:val="21"/>
          <w:szCs w:val="21"/>
          <w:u w:val="none"/>
          <w:lang w:val="en-US" w:eastAsia="zh-CN" w:bidi="ar-SA"/>
        </w:rPr>
        <w:t>上报结算的计价方式完全按照《湖州市南浔区硬长桥及丁家桥片区安置房、沈庄漾农民新村、联谊村新荡农民新村EPC总承包项目合同》中约定的计价方式。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清单价格，如果清单价格可以参考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.所有签证按甲方/承包方要求统一填写；新增项目应有主管人及项目经理签名确认。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9"/>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9"/>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在本工程竣工验收后（现场临时设施撤离、清场完成、交付符合政府相关部门和甲方要求的竣工资料，配合甲方竣工验收等），乙方在竣工验收合格后28天内完成并提交工程结算至甲方，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承包人</w:t>
      </w:r>
      <w:r>
        <w:rPr>
          <w:rFonts w:hint="eastAsia" w:ascii="宋体" w:hAnsi="宋体" w:eastAsia="宋体" w:cs="宋体"/>
          <w:color w:val="auto"/>
          <w:sz w:val="21"/>
          <w:szCs w:val="21"/>
          <w:lang w:val="zh-CN"/>
        </w:rPr>
        <w:t>项目负责人</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12</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；⑤承包人的项目负责人应常驻现场，且每月在现场时间不少于本月施工时间的80%，项目负责人每月到位天数不少于本月施工时间的80%，按照发包人考勤结果每少一天向发包人支付违约金</w:t>
      </w:r>
      <w:r>
        <w:rPr>
          <w:rFonts w:hint="eastAsia" w:ascii="宋体" w:hAnsi="宋体"/>
          <w:b w:val="0"/>
          <w:bCs/>
          <w:color w:val="auto"/>
          <w:szCs w:val="21"/>
          <w:lang w:val="en-US" w:eastAsia="zh-CN"/>
        </w:rPr>
        <w:t>1500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元；除项目负责人以外其他人员：施工负责人和质量安全负责人每月到位天数不少于本月施工时间的80%，采购负责人每月到位天数不少于本月施工时间的</w:t>
      </w:r>
      <w:r>
        <w:rPr>
          <w:rFonts w:hint="eastAsia" w:ascii="宋体" w:hAnsi="宋体"/>
          <w:b w:val="0"/>
          <w:bCs/>
          <w:color w:val="auto"/>
          <w:szCs w:val="21"/>
          <w:lang w:val="en-US" w:eastAsia="zh-CN"/>
        </w:rPr>
        <w:t>40</w:t>
      </w:r>
      <w:r>
        <w:rPr>
          <w:rFonts w:hint="eastAsia" w:ascii="宋体" w:hAnsi="宋体"/>
          <w:b w:val="0"/>
          <w:bCs/>
          <w:color w:val="auto"/>
          <w:szCs w:val="21"/>
        </w:rPr>
        <w:t>%，按照发包人考勤结果每少一天向发包人支付违约金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9"/>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9"/>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9"/>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9"/>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9"/>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9"/>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9"/>
        <w:jc w:val="both"/>
        <w:rPr>
          <w:rFonts w:hint="default" w:ascii="宋体" w:hAnsi="宋体" w:cs="宋体"/>
          <w:color w:val="auto"/>
          <w:sz w:val="24"/>
          <w:szCs w:val="24"/>
          <w:lang w:val="en-US" w:eastAsia="zh-CN"/>
        </w:rPr>
      </w:pPr>
    </w:p>
    <w:p>
      <w:pPr>
        <w:pStyle w:val="9"/>
        <w:jc w:val="both"/>
        <w:rPr>
          <w:rFonts w:hint="eastAsia" w:ascii="宋体" w:hAnsi="宋体" w:cs="宋体"/>
          <w:color w:val="auto"/>
          <w:sz w:val="24"/>
          <w:szCs w:val="24"/>
          <w:lang w:val="en-US" w:eastAsia="zh-CN"/>
        </w:rPr>
      </w:pPr>
    </w:p>
    <w:p>
      <w:pPr>
        <w:pStyle w:val="9"/>
        <w:ind w:left="0" w:leftChars="0" w:firstLine="0" w:firstLineChars="0"/>
        <w:jc w:val="both"/>
        <w:rPr>
          <w:rFonts w:hint="default" w:ascii="宋体" w:hAnsi="宋体" w:cs="宋体"/>
          <w:color w:val="auto"/>
          <w:sz w:val="24"/>
          <w:szCs w:val="24"/>
          <w:lang w:val="en-US" w:eastAsia="zh-CN"/>
        </w:rPr>
      </w:pPr>
    </w:p>
    <w:p/>
    <w:p>
      <w:pPr>
        <w:pStyle w:val="9"/>
        <w:ind w:left="0" w:leftChars="0" w:firstLine="0" w:firstLineChars="0"/>
        <w:jc w:val="both"/>
        <w:rPr>
          <w:rFonts w:hint="eastAsia"/>
        </w:r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一、《索引表》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三、</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 w:val="21"/>
          <w:szCs w:val="21"/>
          <w:lang w:val="en-US" w:eastAsia="zh-CN"/>
        </w:rPr>
      </w:pPr>
      <w:r>
        <w:rPr>
          <w:rFonts w:hint="eastAsia" w:ascii="宋体" w:hAnsi="宋体" w:cs="仿宋_GB2312"/>
          <w:kern w:val="0"/>
          <w:szCs w:val="21"/>
          <w:lang w:val="en-US" w:eastAsia="zh-CN"/>
        </w:rPr>
        <w:t>八、《项目管理组织机构》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 w:val="21"/>
          <w:szCs w:val="21"/>
          <w:lang w:val="en-US" w:eastAsia="zh-CN"/>
        </w:rPr>
      </w:pPr>
      <w:r>
        <w:rPr>
          <w:rFonts w:hint="eastAsia" w:ascii="宋体" w:hAnsi="宋体" w:cs="仿宋_GB2312"/>
          <w:kern w:val="0"/>
          <w:sz w:val="21"/>
          <w:szCs w:val="21"/>
          <w:lang w:val="en-US" w:eastAsia="zh-CN"/>
        </w:rPr>
        <w:t>九、《施工组织设计》</w:t>
      </w:r>
    </w:p>
    <w:p>
      <w:pPr>
        <w:pStyle w:val="16"/>
        <w:ind w:left="0" w:leftChars="0" w:firstLine="0" w:firstLineChars="0"/>
        <w:rPr>
          <w:rFonts w:hint="eastAsia" w:ascii="宋体" w:hAnsi="宋体" w:cs="仿宋_GB2312"/>
          <w:kern w:val="0"/>
          <w:sz w:val="21"/>
          <w:szCs w:val="21"/>
          <w:lang w:val="en-US" w:eastAsia="zh-CN"/>
        </w:rPr>
      </w:pPr>
      <w:r>
        <w:rPr>
          <w:rFonts w:hint="eastAsia" w:ascii="宋体" w:hAnsi="宋体" w:cs="仿宋_GB2312"/>
          <w:kern w:val="0"/>
          <w:sz w:val="21"/>
          <w:szCs w:val="21"/>
          <w:lang w:val="en-US" w:eastAsia="zh-CN"/>
        </w:rPr>
        <w:t>十、《重难点关键工程的施工方案》</w:t>
      </w:r>
    </w:p>
    <w:p>
      <w:pPr>
        <w:pStyle w:val="16"/>
        <w:ind w:left="0" w:leftChars="0" w:firstLine="0" w:firstLineChars="0"/>
        <w:rPr>
          <w:rFonts w:hint="eastAsia" w:ascii="宋体" w:hAnsi="宋体" w:cs="仿宋_GB2312"/>
          <w:kern w:val="0"/>
          <w:sz w:val="21"/>
          <w:szCs w:val="21"/>
          <w:lang w:val="en-US" w:eastAsia="zh-CN"/>
        </w:rPr>
      </w:pPr>
      <w:r>
        <w:rPr>
          <w:rFonts w:hint="eastAsia" w:ascii="宋体" w:hAnsi="宋体" w:cs="仿宋_GB2312"/>
          <w:kern w:val="0"/>
          <w:sz w:val="21"/>
          <w:szCs w:val="21"/>
          <w:lang w:val="en-US" w:eastAsia="zh-CN"/>
        </w:rPr>
        <w:t>十一、《质量安全进度保障方案》</w:t>
      </w:r>
    </w:p>
    <w:p>
      <w:pPr>
        <w:pStyle w:val="16"/>
        <w:ind w:left="0" w:leftChars="0" w:firstLine="0" w:firstLineChars="0"/>
        <w:rPr>
          <w:rFonts w:hint="eastAsia" w:ascii="宋体" w:hAnsi="宋体" w:cs="仿宋_GB2312"/>
          <w:kern w:val="0"/>
          <w:sz w:val="21"/>
          <w:szCs w:val="21"/>
          <w:lang w:val="en-US" w:eastAsia="zh-CN"/>
        </w:rPr>
      </w:pPr>
      <w:r>
        <w:rPr>
          <w:rFonts w:hint="eastAsia" w:ascii="宋体" w:hAnsi="宋体" w:cs="仿宋_GB2312"/>
          <w:kern w:val="0"/>
          <w:sz w:val="21"/>
          <w:szCs w:val="21"/>
          <w:lang w:val="en-US" w:eastAsia="zh-CN"/>
        </w:rPr>
        <w:t>十二、《信誉及业绩评价》</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十三、《投标人认为需要提交的其它资料》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9"/>
        <w:ind w:left="0" w:leftChars="0" w:firstLine="0" w:firstLineChars="0"/>
        <w:jc w:val="both"/>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hint="eastAsia" w:cs="Times New Roman" w:asciiTheme="majorEastAsia" w:hAnsiTheme="majorEastAsia" w:eastAsiaTheme="majorEastAsia"/>
          <w:sz w:val="32"/>
          <w:szCs w:val="32"/>
        </w:rPr>
      </w:pPr>
      <w:r>
        <w:rPr>
          <w:rFonts w:hint="eastAsia" w:cs="Times New Roman" w:asciiTheme="majorEastAsia" w:hAnsiTheme="majorEastAsia" w:eastAsiaTheme="majorEastAsia"/>
          <w:sz w:val="32"/>
          <w:szCs w:val="32"/>
        </w:rPr>
        <w:t>索引表</w:t>
      </w:r>
    </w:p>
    <w:p>
      <w:pPr>
        <w:snapToGrid w:val="0"/>
        <w:spacing w:before="50"/>
        <w:jc w:val="center"/>
        <w:rPr>
          <w:rFonts w:ascii="仿宋_GB2312" w:hAnsi="仿宋" w:eastAsia="仿宋_GB2312"/>
          <w:b/>
          <w:szCs w:val="28"/>
        </w:rPr>
      </w:pPr>
    </w:p>
    <w:p>
      <w:pPr>
        <w:pStyle w:val="6"/>
        <w:ind w:firstLine="480"/>
        <w:rPr>
          <w:rFonts w:ascii="宋体" w:hAnsi="宋体" w:eastAsia="宋体"/>
          <w:color w:val="000000"/>
          <w:sz w:val="24"/>
          <w:szCs w:val="24"/>
        </w:rPr>
      </w:pPr>
      <w:r>
        <w:rPr>
          <w:rFonts w:hint="eastAsia" w:ascii="宋体" w:hAnsi="宋体" w:eastAsia="宋体"/>
          <w:color w:val="000000"/>
          <w:sz w:val="24"/>
          <w:szCs w:val="24"/>
          <w:lang w:val="en-US" w:eastAsia="zh-CN"/>
        </w:rPr>
        <w:t>投标人</w:t>
      </w:r>
      <w:r>
        <w:rPr>
          <w:rFonts w:hint="eastAsia" w:ascii="宋体" w:hAnsi="宋体" w:eastAsia="宋体"/>
          <w:color w:val="000000"/>
          <w:sz w:val="24"/>
          <w:szCs w:val="24"/>
        </w:rPr>
        <w:t>（</w:t>
      </w:r>
      <w:r>
        <w:rPr>
          <w:rFonts w:hint="eastAsia" w:ascii="宋体" w:hAnsi="宋体" w:eastAsia="宋体"/>
          <w:color w:val="000000"/>
          <w:sz w:val="24"/>
          <w:szCs w:val="24"/>
          <w:lang w:val="en-US" w:eastAsia="zh-CN"/>
        </w:rPr>
        <w:t>加盖</w:t>
      </w:r>
      <w:r>
        <w:rPr>
          <w:rFonts w:hint="eastAsia" w:ascii="宋体" w:hAnsi="宋体" w:eastAsia="宋体"/>
          <w:color w:val="000000"/>
          <w:sz w:val="24"/>
          <w:szCs w:val="24"/>
        </w:rPr>
        <w:t xml:space="preserve">公章）：              </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39"/>
        <w:gridCol w:w="3043"/>
        <w:gridCol w:w="23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评分项目</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投标文件对应资料</w:t>
            </w: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hint="eastAsia" w:ascii="宋体" w:hAnsi="宋体"/>
                <w:color w:val="000000"/>
                <w:sz w:val="24"/>
              </w:rPr>
              <w:t>对应第</w:t>
            </w:r>
            <w:r>
              <w:rPr>
                <w:rFonts w:hint="eastAsia" w:ascii="宋体" w:hAnsi="宋体"/>
                <w:color w:val="000000"/>
                <w:sz w:val="24"/>
                <w:lang w:val="en-US" w:eastAsia="zh-CN"/>
              </w:rPr>
              <w:t>三</w:t>
            </w:r>
            <w:r>
              <w:rPr>
                <w:rFonts w:hint="eastAsia" w:ascii="宋体" w:hAnsi="宋体"/>
                <w:color w:val="000000"/>
                <w:sz w:val="24"/>
              </w:rPr>
              <w:t>章评分</w:t>
            </w:r>
            <w:r>
              <w:rPr>
                <w:rFonts w:hint="eastAsia" w:ascii="宋体" w:hAnsi="宋体"/>
                <w:color w:val="000000"/>
                <w:sz w:val="24"/>
                <w:lang w:val="en-US" w:eastAsia="zh-CN"/>
              </w:rPr>
              <w:t>方法</w:t>
            </w:r>
            <w:r>
              <w:rPr>
                <w:rFonts w:hint="eastAsia" w:ascii="宋体" w:hAnsi="宋体"/>
                <w:color w:val="000000"/>
                <w:sz w:val="24"/>
              </w:rPr>
              <w:t>（报价除外）</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hint="eastAsia" w:ascii="宋体" w:hAnsi="宋体"/>
                <w:color w:val="000000"/>
                <w:sz w:val="24"/>
              </w:rPr>
              <w:t>……</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40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bl>
    <w:p>
      <w:pPr>
        <w:snapToGrid w:val="0"/>
        <w:spacing w:line="460" w:lineRule="exact"/>
        <w:ind w:firstLine="240" w:firstLineChars="100"/>
        <w:rPr>
          <w:rFonts w:hint="eastAsia" w:ascii="宋体" w:hAnsi="宋体" w:cs="宋体"/>
          <w:sz w:val="24"/>
        </w:rPr>
      </w:pPr>
    </w:p>
    <w:p>
      <w:pPr>
        <w:snapToGrid w:val="0"/>
        <w:spacing w:line="460" w:lineRule="exact"/>
        <w:ind w:firstLine="240" w:firstLineChars="100"/>
        <w:rPr>
          <w:rFonts w:hint="eastAsia" w:ascii="宋体" w:hAnsi="宋体" w:cs="宋体"/>
          <w:sz w:val="24"/>
        </w:rPr>
      </w:pPr>
      <w:r>
        <w:rPr>
          <w:rFonts w:hint="eastAsia" w:ascii="宋体" w:hAnsi="宋体" w:cs="宋体"/>
          <w:sz w:val="24"/>
        </w:rPr>
        <w:t>法定代表人或其授权代理人签字或盖章：</w:t>
      </w:r>
    </w:p>
    <w:p>
      <w:pPr>
        <w:snapToGrid w:val="0"/>
        <w:spacing w:line="460" w:lineRule="exact"/>
        <w:jc w:val="right"/>
        <w:rPr>
          <w:rFonts w:hint="eastAsia" w:ascii="宋体" w:hAnsi="宋体" w:cs="宋体"/>
          <w:sz w:val="24"/>
        </w:rPr>
      </w:pPr>
    </w:p>
    <w:p>
      <w:pPr>
        <w:snapToGrid w:val="0"/>
        <w:spacing w:line="460" w:lineRule="exact"/>
        <w:jc w:val="center"/>
        <w:rPr>
          <w:rFonts w:hint="eastAsia" w:ascii="黑体" w:hAnsi="黑体" w:eastAsia="黑体" w:cs="黑体"/>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r>
        <w:rPr>
          <w:rFonts w:hint="eastAsia" w:ascii="宋体" w:hAnsi="宋体" w:cs="宋体"/>
          <w:sz w:val="24"/>
          <w:lang w:val="en-US" w:eastAsia="zh-CN"/>
        </w:rPr>
        <w:t xml:space="preserve">                                           </w:t>
      </w:r>
      <w:r>
        <w:rPr>
          <w:rFonts w:hint="eastAsia" w:ascii="宋体" w:hAnsi="宋体" w:cs="宋体"/>
          <w:sz w:val="24"/>
        </w:rPr>
        <w:t>日期：    年  月   日</w:t>
      </w: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9"/>
        <w:ind w:left="63" w:right="63" w:firstLine="200"/>
      </w:pPr>
    </w:p>
    <w:p>
      <w:pPr>
        <w:pStyle w:val="9"/>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9"/>
        <w:ind w:left="0" w:leftChars="0" w:right="63" w:firstLine="0" w:firstLineChars="0"/>
        <w:jc w:val="left"/>
        <w:rPr>
          <w:rFonts w:eastAsia="黑体"/>
          <w:b/>
          <w:bCs/>
          <w:sz w:val="28"/>
          <w:szCs w:val="28"/>
        </w:rPr>
      </w:pPr>
    </w:p>
    <w:p>
      <w:pPr>
        <w:pStyle w:val="9"/>
        <w:ind w:left="0" w:leftChars="0" w:right="63" w:firstLine="0" w:firstLineChars="0"/>
        <w:jc w:val="both"/>
        <w:rPr>
          <w:rFonts w:eastAsia="黑体"/>
          <w:b/>
          <w:bCs/>
          <w:sz w:val="32"/>
        </w:rPr>
      </w:pPr>
    </w:p>
    <w:p>
      <w:pPr>
        <w:pStyle w:val="10"/>
        <w:rPr>
          <w:rFonts w:eastAsia="黑体"/>
          <w:b/>
          <w:bCs/>
          <w:sz w:val="32"/>
        </w:rPr>
      </w:pPr>
    </w:p>
    <w:p>
      <w:pPr>
        <w:rPr>
          <w:rFonts w:eastAsia="黑体"/>
          <w:b/>
          <w:bCs/>
          <w:sz w:val="32"/>
        </w:rPr>
      </w:pPr>
    </w:p>
    <w:p>
      <w:pPr>
        <w:pStyle w:val="9"/>
      </w:pPr>
    </w:p>
    <w:p>
      <w:pPr>
        <w:pStyle w:val="9"/>
        <w:ind w:left="0" w:leftChars="0" w:firstLine="0" w:firstLineChars="0"/>
        <w:jc w:val="both"/>
        <w:rPr>
          <w:rFonts w:eastAsia="黑体"/>
          <w:b/>
          <w:bCs/>
          <w:sz w:val="32"/>
        </w:rPr>
      </w:pPr>
    </w:p>
    <w:p>
      <w:pPr>
        <w:spacing w:line="360" w:lineRule="auto"/>
        <w:rPr>
          <w:rFonts w:hint="eastAsia" w:ascii="黑体" w:hAnsi="黑体" w:eastAsia="黑体" w:cs="黑体"/>
          <w:b w:val="0"/>
          <w:bCs w:val="0"/>
          <w:sz w:val="32"/>
          <w:lang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3</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11"/>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7"/>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9"/>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15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9"/>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9"/>
        <w:ind w:left="63" w:right="63" w:firstLine="200"/>
      </w:pPr>
    </w:p>
    <w:p>
      <w:pPr>
        <w:pStyle w:val="9"/>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right="360"/>
      <w:jc w:val="right"/>
      <w:rPr>
        <w:rStyle w:val="19"/>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ZhNWJiMzgxYjYyYTczNWQxNTQ3NmI2YTExMzg1ZTQ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D52E6"/>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01B7"/>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FA259F"/>
    <w:rsid w:val="020D6921"/>
    <w:rsid w:val="023A5A36"/>
    <w:rsid w:val="024559FD"/>
    <w:rsid w:val="02555A6F"/>
    <w:rsid w:val="02A16E5B"/>
    <w:rsid w:val="02BA3F8E"/>
    <w:rsid w:val="02D15D88"/>
    <w:rsid w:val="02D405EB"/>
    <w:rsid w:val="02E749BB"/>
    <w:rsid w:val="032D0193"/>
    <w:rsid w:val="0367677F"/>
    <w:rsid w:val="03676E56"/>
    <w:rsid w:val="03A00125"/>
    <w:rsid w:val="03A94B82"/>
    <w:rsid w:val="03D11D4A"/>
    <w:rsid w:val="03D97231"/>
    <w:rsid w:val="03E93802"/>
    <w:rsid w:val="043A0533"/>
    <w:rsid w:val="04516A79"/>
    <w:rsid w:val="04573C41"/>
    <w:rsid w:val="0462666F"/>
    <w:rsid w:val="046F6042"/>
    <w:rsid w:val="047A724B"/>
    <w:rsid w:val="04997A93"/>
    <w:rsid w:val="04A27AD6"/>
    <w:rsid w:val="04BC175B"/>
    <w:rsid w:val="04DA4E56"/>
    <w:rsid w:val="04EB7E87"/>
    <w:rsid w:val="05124135"/>
    <w:rsid w:val="051E0E9A"/>
    <w:rsid w:val="052D6729"/>
    <w:rsid w:val="05361AC6"/>
    <w:rsid w:val="05504736"/>
    <w:rsid w:val="055B5E8C"/>
    <w:rsid w:val="05846E99"/>
    <w:rsid w:val="059841B5"/>
    <w:rsid w:val="05BF6198"/>
    <w:rsid w:val="05F7114B"/>
    <w:rsid w:val="05F717DB"/>
    <w:rsid w:val="063614FF"/>
    <w:rsid w:val="064233C9"/>
    <w:rsid w:val="06A905A2"/>
    <w:rsid w:val="06E14433"/>
    <w:rsid w:val="06E309F6"/>
    <w:rsid w:val="06EF1648"/>
    <w:rsid w:val="07014EB5"/>
    <w:rsid w:val="073339CC"/>
    <w:rsid w:val="0736578B"/>
    <w:rsid w:val="07686198"/>
    <w:rsid w:val="077A07CA"/>
    <w:rsid w:val="07870DD4"/>
    <w:rsid w:val="078B756F"/>
    <w:rsid w:val="07933142"/>
    <w:rsid w:val="07A05E7D"/>
    <w:rsid w:val="07DF3C55"/>
    <w:rsid w:val="08103BAC"/>
    <w:rsid w:val="08687625"/>
    <w:rsid w:val="08785560"/>
    <w:rsid w:val="08995DA8"/>
    <w:rsid w:val="08AA3318"/>
    <w:rsid w:val="08D26586"/>
    <w:rsid w:val="08D352B6"/>
    <w:rsid w:val="08D46119"/>
    <w:rsid w:val="09121956"/>
    <w:rsid w:val="091309E4"/>
    <w:rsid w:val="09361A12"/>
    <w:rsid w:val="09374B35"/>
    <w:rsid w:val="093C44A0"/>
    <w:rsid w:val="09451A80"/>
    <w:rsid w:val="099F3E40"/>
    <w:rsid w:val="09B54D47"/>
    <w:rsid w:val="09B745A5"/>
    <w:rsid w:val="09CF5737"/>
    <w:rsid w:val="0A2441B5"/>
    <w:rsid w:val="0A5A5EBE"/>
    <w:rsid w:val="0A6B27F2"/>
    <w:rsid w:val="0A86042B"/>
    <w:rsid w:val="0AAC6BE4"/>
    <w:rsid w:val="0AB32181"/>
    <w:rsid w:val="0AB61377"/>
    <w:rsid w:val="0AD4553E"/>
    <w:rsid w:val="0ADE2021"/>
    <w:rsid w:val="0AE66846"/>
    <w:rsid w:val="0B056ACF"/>
    <w:rsid w:val="0B0E7656"/>
    <w:rsid w:val="0B341A54"/>
    <w:rsid w:val="0B3C69C0"/>
    <w:rsid w:val="0B3D39AE"/>
    <w:rsid w:val="0B4A311D"/>
    <w:rsid w:val="0B5C340D"/>
    <w:rsid w:val="0B7C0129"/>
    <w:rsid w:val="0BA056F7"/>
    <w:rsid w:val="0BAF2250"/>
    <w:rsid w:val="0BD03262"/>
    <w:rsid w:val="0BD7201F"/>
    <w:rsid w:val="0C090849"/>
    <w:rsid w:val="0C0F70F9"/>
    <w:rsid w:val="0C3B53E1"/>
    <w:rsid w:val="0C715A9F"/>
    <w:rsid w:val="0C8278CB"/>
    <w:rsid w:val="0C903042"/>
    <w:rsid w:val="0CA72033"/>
    <w:rsid w:val="0CB57E44"/>
    <w:rsid w:val="0CBB11BF"/>
    <w:rsid w:val="0CF94A70"/>
    <w:rsid w:val="0D00419D"/>
    <w:rsid w:val="0D012414"/>
    <w:rsid w:val="0D060ACA"/>
    <w:rsid w:val="0D067D95"/>
    <w:rsid w:val="0D1E7589"/>
    <w:rsid w:val="0D2802F9"/>
    <w:rsid w:val="0D2C7836"/>
    <w:rsid w:val="0D2C79B1"/>
    <w:rsid w:val="0D3764E2"/>
    <w:rsid w:val="0D395ADB"/>
    <w:rsid w:val="0D466B4A"/>
    <w:rsid w:val="0D732767"/>
    <w:rsid w:val="0DA10CD9"/>
    <w:rsid w:val="0DAA3778"/>
    <w:rsid w:val="0DC937C0"/>
    <w:rsid w:val="0DD46DDA"/>
    <w:rsid w:val="0DDE73FA"/>
    <w:rsid w:val="0DED346A"/>
    <w:rsid w:val="0DF17868"/>
    <w:rsid w:val="0E145894"/>
    <w:rsid w:val="0E35686A"/>
    <w:rsid w:val="0E377D9A"/>
    <w:rsid w:val="0E4802A5"/>
    <w:rsid w:val="0E53031A"/>
    <w:rsid w:val="0E5E17BA"/>
    <w:rsid w:val="0E703A00"/>
    <w:rsid w:val="0E87741A"/>
    <w:rsid w:val="0EB964D6"/>
    <w:rsid w:val="0ED657C4"/>
    <w:rsid w:val="0ED9012F"/>
    <w:rsid w:val="0EE11F93"/>
    <w:rsid w:val="0EED547D"/>
    <w:rsid w:val="0F062706"/>
    <w:rsid w:val="0F07103E"/>
    <w:rsid w:val="0F2E3A4B"/>
    <w:rsid w:val="0FA00107"/>
    <w:rsid w:val="0FAB538A"/>
    <w:rsid w:val="0FAE4BA9"/>
    <w:rsid w:val="0FDA2C64"/>
    <w:rsid w:val="0FE86D87"/>
    <w:rsid w:val="100F0015"/>
    <w:rsid w:val="10163297"/>
    <w:rsid w:val="105F1E24"/>
    <w:rsid w:val="10765998"/>
    <w:rsid w:val="10B412E9"/>
    <w:rsid w:val="10C20877"/>
    <w:rsid w:val="10C20BDE"/>
    <w:rsid w:val="10CB7B87"/>
    <w:rsid w:val="10EE5A6A"/>
    <w:rsid w:val="11016360"/>
    <w:rsid w:val="11151C5F"/>
    <w:rsid w:val="11342AE3"/>
    <w:rsid w:val="113B73CF"/>
    <w:rsid w:val="11547BE0"/>
    <w:rsid w:val="115E2150"/>
    <w:rsid w:val="11A6405B"/>
    <w:rsid w:val="11C529F0"/>
    <w:rsid w:val="11E20196"/>
    <w:rsid w:val="11E74EAE"/>
    <w:rsid w:val="11FF67AE"/>
    <w:rsid w:val="122C41A2"/>
    <w:rsid w:val="1260013F"/>
    <w:rsid w:val="12666D58"/>
    <w:rsid w:val="1270628F"/>
    <w:rsid w:val="12C863EF"/>
    <w:rsid w:val="12C90B50"/>
    <w:rsid w:val="12E87E9D"/>
    <w:rsid w:val="1310053D"/>
    <w:rsid w:val="132F7448"/>
    <w:rsid w:val="13307790"/>
    <w:rsid w:val="135E32A2"/>
    <w:rsid w:val="13745BA1"/>
    <w:rsid w:val="1392781A"/>
    <w:rsid w:val="13A919D9"/>
    <w:rsid w:val="13CD26E2"/>
    <w:rsid w:val="13D75A7D"/>
    <w:rsid w:val="13D976F7"/>
    <w:rsid w:val="13F6007C"/>
    <w:rsid w:val="147965B5"/>
    <w:rsid w:val="149B3D57"/>
    <w:rsid w:val="14BD4BDD"/>
    <w:rsid w:val="14DD050E"/>
    <w:rsid w:val="14E325B3"/>
    <w:rsid w:val="14F50E75"/>
    <w:rsid w:val="14F711DC"/>
    <w:rsid w:val="151B72C0"/>
    <w:rsid w:val="152D05F0"/>
    <w:rsid w:val="15461AA9"/>
    <w:rsid w:val="1546360D"/>
    <w:rsid w:val="15A47628"/>
    <w:rsid w:val="15DF0493"/>
    <w:rsid w:val="15F94EAB"/>
    <w:rsid w:val="15FF3D3A"/>
    <w:rsid w:val="16070E41"/>
    <w:rsid w:val="16071574"/>
    <w:rsid w:val="160F44C0"/>
    <w:rsid w:val="16135686"/>
    <w:rsid w:val="1636706C"/>
    <w:rsid w:val="164756E1"/>
    <w:rsid w:val="16661441"/>
    <w:rsid w:val="16692D06"/>
    <w:rsid w:val="167069E6"/>
    <w:rsid w:val="16711CA5"/>
    <w:rsid w:val="16886F12"/>
    <w:rsid w:val="16C0024D"/>
    <w:rsid w:val="17193619"/>
    <w:rsid w:val="172B78C9"/>
    <w:rsid w:val="174C7528"/>
    <w:rsid w:val="1766153D"/>
    <w:rsid w:val="177D0DF0"/>
    <w:rsid w:val="178D7750"/>
    <w:rsid w:val="17A76437"/>
    <w:rsid w:val="17E76070"/>
    <w:rsid w:val="17FA6829"/>
    <w:rsid w:val="17FC683D"/>
    <w:rsid w:val="18172F94"/>
    <w:rsid w:val="181A4085"/>
    <w:rsid w:val="18255A8F"/>
    <w:rsid w:val="18367CDA"/>
    <w:rsid w:val="186C5741"/>
    <w:rsid w:val="187B2D1C"/>
    <w:rsid w:val="187E034D"/>
    <w:rsid w:val="18A373BF"/>
    <w:rsid w:val="18E75295"/>
    <w:rsid w:val="18F2566E"/>
    <w:rsid w:val="18F5009D"/>
    <w:rsid w:val="191C650D"/>
    <w:rsid w:val="196040B6"/>
    <w:rsid w:val="19820BA0"/>
    <w:rsid w:val="19960EC8"/>
    <w:rsid w:val="19C26E47"/>
    <w:rsid w:val="1A05542B"/>
    <w:rsid w:val="1A296A52"/>
    <w:rsid w:val="1A327363"/>
    <w:rsid w:val="1A377E4D"/>
    <w:rsid w:val="1A417455"/>
    <w:rsid w:val="1A484EF8"/>
    <w:rsid w:val="1A55578A"/>
    <w:rsid w:val="1A761E92"/>
    <w:rsid w:val="1A7B75EC"/>
    <w:rsid w:val="1A8643C5"/>
    <w:rsid w:val="1A8804E1"/>
    <w:rsid w:val="1A9939F0"/>
    <w:rsid w:val="1AA8484B"/>
    <w:rsid w:val="1ABE2171"/>
    <w:rsid w:val="1ACF5074"/>
    <w:rsid w:val="1AE920DA"/>
    <w:rsid w:val="1AFF2799"/>
    <w:rsid w:val="1B001AC7"/>
    <w:rsid w:val="1B102A59"/>
    <w:rsid w:val="1B13565A"/>
    <w:rsid w:val="1B141717"/>
    <w:rsid w:val="1B195CB1"/>
    <w:rsid w:val="1B5A6839"/>
    <w:rsid w:val="1B6A60FA"/>
    <w:rsid w:val="1B6D7A40"/>
    <w:rsid w:val="1B7431C3"/>
    <w:rsid w:val="1B9C027D"/>
    <w:rsid w:val="1B9F16E4"/>
    <w:rsid w:val="1BA96FBE"/>
    <w:rsid w:val="1BC70C49"/>
    <w:rsid w:val="1BE1168D"/>
    <w:rsid w:val="1BF76B72"/>
    <w:rsid w:val="1BF965A1"/>
    <w:rsid w:val="1C107DE9"/>
    <w:rsid w:val="1C133FA6"/>
    <w:rsid w:val="1C3800B2"/>
    <w:rsid w:val="1C5B3FD4"/>
    <w:rsid w:val="1C801D30"/>
    <w:rsid w:val="1C811351"/>
    <w:rsid w:val="1C97489E"/>
    <w:rsid w:val="1C9F69B8"/>
    <w:rsid w:val="1CB2284B"/>
    <w:rsid w:val="1CD001DE"/>
    <w:rsid w:val="1CD33F04"/>
    <w:rsid w:val="1CD70817"/>
    <w:rsid w:val="1CDA4153"/>
    <w:rsid w:val="1CE91E92"/>
    <w:rsid w:val="1D2E3157"/>
    <w:rsid w:val="1D39497B"/>
    <w:rsid w:val="1D596426"/>
    <w:rsid w:val="1D8B208F"/>
    <w:rsid w:val="1D8E30F7"/>
    <w:rsid w:val="1D9E02DC"/>
    <w:rsid w:val="1DAB0A38"/>
    <w:rsid w:val="1DD7559C"/>
    <w:rsid w:val="1E4104FD"/>
    <w:rsid w:val="1E5D4927"/>
    <w:rsid w:val="1E851020"/>
    <w:rsid w:val="1EF403AD"/>
    <w:rsid w:val="1EFD48B8"/>
    <w:rsid w:val="1F0A411A"/>
    <w:rsid w:val="1F207B44"/>
    <w:rsid w:val="1F2B3856"/>
    <w:rsid w:val="1F525CE0"/>
    <w:rsid w:val="1F745F7B"/>
    <w:rsid w:val="1F97531C"/>
    <w:rsid w:val="1FA03DAE"/>
    <w:rsid w:val="1FAA3C18"/>
    <w:rsid w:val="1FB042F7"/>
    <w:rsid w:val="1FED51FB"/>
    <w:rsid w:val="1FF15AA8"/>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543660"/>
    <w:rsid w:val="2255792F"/>
    <w:rsid w:val="225A0E23"/>
    <w:rsid w:val="22B34C3F"/>
    <w:rsid w:val="22D12BAB"/>
    <w:rsid w:val="22ED209B"/>
    <w:rsid w:val="22EE6AE2"/>
    <w:rsid w:val="23073830"/>
    <w:rsid w:val="231178C5"/>
    <w:rsid w:val="236D774B"/>
    <w:rsid w:val="238454D3"/>
    <w:rsid w:val="2417309F"/>
    <w:rsid w:val="242D23BA"/>
    <w:rsid w:val="243E2265"/>
    <w:rsid w:val="244150FF"/>
    <w:rsid w:val="2472448D"/>
    <w:rsid w:val="24C6154C"/>
    <w:rsid w:val="24DF7E77"/>
    <w:rsid w:val="252400AA"/>
    <w:rsid w:val="25372ADE"/>
    <w:rsid w:val="254A3ED0"/>
    <w:rsid w:val="254F32AC"/>
    <w:rsid w:val="25506D3B"/>
    <w:rsid w:val="25BB1B2D"/>
    <w:rsid w:val="25C11A13"/>
    <w:rsid w:val="25C26B32"/>
    <w:rsid w:val="25D87FB3"/>
    <w:rsid w:val="25DE77BD"/>
    <w:rsid w:val="25EC2C8E"/>
    <w:rsid w:val="2648468A"/>
    <w:rsid w:val="264A1A74"/>
    <w:rsid w:val="26940688"/>
    <w:rsid w:val="270216C1"/>
    <w:rsid w:val="27225448"/>
    <w:rsid w:val="27266761"/>
    <w:rsid w:val="272C02FD"/>
    <w:rsid w:val="2746156A"/>
    <w:rsid w:val="2751016E"/>
    <w:rsid w:val="2758714A"/>
    <w:rsid w:val="278D5A4A"/>
    <w:rsid w:val="27936D0C"/>
    <w:rsid w:val="27B830E8"/>
    <w:rsid w:val="27E155EC"/>
    <w:rsid w:val="280276BA"/>
    <w:rsid w:val="280B7FEB"/>
    <w:rsid w:val="282E04AF"/>
    <w:rsid w:val="28450F6C"/>
    <w:rsid w:val="284C16B1"/>
    <w:rsid w:val="28577024"/>
    <w:rsid w:val="286A22CA"/>
    <w:rsid w:val="286A3F94"/>
    <w:rsid w:val="28A66FD2"/>
    <w:rsid w:val="28F60FCD"/>
    <w:rsid w:val="29081179"/>
    <w:rsid w:val="2926030A"/>
    <w:rsid w:val="293F6BD5"/>
    <w:rsid w:val="294C32E2"/>
    <w:rsid w:val="29664B00"/>
    <w:rsid w:val="298D54E1"/>
    <w:rsid w:val="298F58A4"/>
    <w:rsid w:val="29912B2A"/>
    <w:rsid w:val="29933E95"/>
    <w:rsid w:val="29953A54"/>
    <w:rsid w:val="29A11257"/>
    <w:rsid w:val="29F36631"/>
    <w:rsid w:val="29F76330"/>
    <w:rsid w:val="2A502BDE"/>
    <w:rsid w:val="2A610E88"/>
    <w:rsid w:val="2AA236A8"/>
    <w:rsid w:val="2AD540D4"/>
    <w:rsid w:val="2AF77B9D"/>
    <w:rsid w:val="2AFB52E4"/>
    <w:rsid w:val="2B040840"/>
    <w:rsid w:val="2B16595D"/>
    <w:rsid w:val="2B2733B9"/>
    <w:rsid w:val="2B297FDE"/>
    <w:rsid w:val="2B2A503B"/>
    <w:rsid w:val="2B2E699C"/>
    <w:rsid w:val="2B326266"/>
    <w:rsid w:val="2B485D2C"/>
    <w:rsid w:val="2B797A36"/>
    <w:rsid w:val="2BD248C2"/>
    <w:rsid w:val="2BFF63EA"/>
    <w:rsid w:val="2C023541"/>
    <w:rsid w:val="2C2C542E"/>
    <w:rsid w:val="2C371C61"/>
    <w:rsid w:val="2C461941"/>
    <w:rsid w:val="2C7173E0"/>
    <w:rsid w:val="2C8E4D82"/>
    <w:rsid w:val="2CD03054"/>
    <w:rsid w:val="2CD87789"/>
    <w:rsid w:val="2D0A27D8"/>
    <w:rsid w:val="2D1F1586"/>
    <w:rsid w:val="2D3C001D"/>
    <w:rsid w:val="2D505B75"/>
    <w:rsid w:val="2D5A30CF"/>
    <w:rsid w:val="2D7E320A"/>
    <w:rsid w:val="2D9331E7"/>
    <w:rsid w:val="2DD122C7"/>
    <w:rsid w:val="2DD74304"/>
    <w:rsid w:val="2DF75EB2"/>
    <w:rsid w:val="2E085135"/>
    <w:rsid w:val="2E4D7EDF"/>
    <w:rsid w:val="2E5C0F57"/>
    <w:rsid w:val="2E6B5AF8"/>
    <w:rsid w:val="2E784EE0"/>
    <w:rsid w:val="2E8708C4"/>
    <w:rsid w:val="2E891B68"/>
    <w:rsid w:val="2EC921D2"/>
    <w:rsid w:val="2EE45D6B"/>
    <w:rsid w:val="2EE66A28"/>
    <w:rsid w:val="2EEE7E7D"/>
    <w:rsid w:val="2F082C50"/>
    <w:rsid w:val="2F153231"/>
    <w:rsid w:val="2F244316"/>
    <w:rsid w:val="2F2B4635"/>
    <w:rsid w:val="2F3C7172"/>
    <w:rsid w:val="2F613A9E"/>
    <w:rsid w:val="2F6912D0"/>
    <w:rsid w:val="2FB14A43"/>
    <w:rsid w:val="2FE47620"/>
    <w:rsid w:val="2FEE4A3B"/>
    <w:rsid w:val="2FEE5699"/>
    <w:rsid w:val="2FFB0443"/>
    <w:rsid w:val="300C7997"/>
    <w:rsid w:val="302A57BB"/>
    <w:rsid w:val="303B7986"/>
    <w:rsid w:val="309B06AC"/>
    <w:rsid w:val="30AE1D52"/>
    <w:rsid w:val="30E7266C"/>
    <w:rsid w:val="30EA5331"/>
    <w:rsid w:val="30F25F6B"/>
    <w:rsid w:val="311A0F54"/>
    <w:rsid w:val="315111F1"/>
    <w:rsid w:val="316A42B7"/>
    <w:rsid w:val="316C2015"/>
    <w:rsid w:val="317B512E"/>
    <w:rsid w:val="31DD28EC"/>
    <w:rsid w:val="31F34B0C"/>
    <w:rsid w:val="31F74D74"/>
    <w:rsid w:val="32036508"/>
    <w:rsid w:val="321513CB"/>
    <w:rsid w:val="32256D38"/>
    <w:rsid w:val="32293DF3"/>
    <w:rsid w:val="324C6101"/>
    <w:rsid w:val="32824E03"/>
    <w:rsid w:val="329C70DF"/>
    <w:rsid w:val="329D0E07"/>
    <w:rsid w:val="32B31CDC"/>
    <w:rsid w:val="32D811B7"/>
    <w:rsid w:val="32F857F4"/>
    <w:rsid w:val="32FB3D76"/>
    <w:rsid w:val="33122E76"/>
    <w:rsid w:val="33352B46"/>
    <w:rsid w:val="334A7AE4"/>
    <w:rsid w:val="336A45BE"/>
    <w:rsid w:val="33866163"/>
    <w:rsid w:val="33AD4398"/>
    <w:rsid w:val="33CB03EB"/>
    <w:rsid w:val="33CD502C"/>
    <w:rsid w:val="33D93647"/>
    <w:rsid w:val="33E118EB"/>
    <w:rsid w:val="33E24E2C"/>
    <w:rsid w:val="33F3561C"/>
    <w:rsid w:val="33F4138D"/>
    <w:rsid w:val="341325A0"/>
    <w:rsid w:val="34381F13"/>
    <w:rsid w:val="344C2238"/>
    <w:rsid w:val="34B00BC9"/>
    <w:rsid w:val="34B93D28"/>
    <w:rsid w:val="34C01173"/>
    <w:rsid w:val="34C67B9A"/>
    <w:rsid w:val="34CD7662"/>
    <w:rsid w:val="34E300BF"/>
    <w:rsid w:val="351F234A"/>
    <w:rsid w:val="35357839"/>
    <w:rsid w:val="35530BF6"/>
    <w:rsid w:val="35A81BAD"/>
    <w:rsid w:val="35A84571"/>
    <w:rsid w:val="360C2571"/>
    <w:rsid w:val="360D6341"/>
    <w:rsid w:val="36621334"/>
    <w:rsid w:val="36AA2F1D"/>
    <w:rsid w:val="36C23B26"/>
    <w:rsid w:val="36F32FEF"/>
    <w:rsid w:val="36F9389F"/>
    <w:rsid w:val="37727DA2"/>
    <w:rsid w:val="37BC4D26"/>
    <w:rsid w:val="37C2711A"/>
    <w:rsid w:val="37C52541"/>
    <w:rsid w:val="3814321D"/>
    <w:rsid w:val="3822589D"/>
    <w:rsid w:val="38294778"/>
    <w:rsid w:val="383B7004"/>
    <w:rsid w:val="38730D8C"/>
    <w:rsid w:val="38761F63"/>
    <w:rsid w:val="388279D2"/>
    <w:rsid w:val="388A25D9"/>
    <w:rsid w:val="389E6F8B"/>
    <w:rsid w:val="38A05EBA"/>
    <w:rsid w:val="38E73337"/>
    <w:rsid w:val="39243700"/>
    <w:rsid w:val="39371CF5"/>
    <w:rsid w:val="394E7DD5"/>
    <w:rsid w:val="396A5DF5"/>
    <w:rsid w:val="396F20BC"/>
    <w:rsid w:val="39734A06"/>
    <w:rsid w:val="39993D09"/>
    <w:rsid w:val="39A8483F"/>
    <w:rsid w:val="39CB0253"/>
    <w:rsid w:val="39CB45BD"/>
    <w:rsid w:val="39FC39DC"/>
    <w:rsid w:val="3A0F0192"/>
    <w:rsid w:val="3A142266"/>
    <w:rsid w:val="3A1B1419"/>
    <w:rsid w:val="3A451C64"/>
    <w:rsid w:val="3A561F9C"/>
    <w:rsid w:val="3A63223A"/>
    <w:rsid w:val="3A6A62BD"/>
    <w:rsid w:val="3A7428CC"/>
    <w:rsid w:val="3A8B5974"/>
    <w:rsid w:val="3A976388"/>
    <w:rsid w:val="3AE64A6A"/>
    <w:rsid w:val="3AF10675"/>
    <w:rsid w:val="3B1C0AC3"/>
    <w:rsid w:val="3B4343B6"/>
    <w:rsid w:val="3B443E2E"/>
    <w:rsid w:val="3B4D2370"/>
    <w:rsid w:val="3B4D3B9C"/>
    <w:rsid w:val="3B6D0AC3"/>
    <w:rsid w:val="3B84690C"/>
    <w:rsid w:val="3B920879"/>
    <w:rsid w:val="3BBF5064"/>
    <w:rsid w:val="3BDF3482"/>
    <w:rsid w:val="3BE7142E"/>
    <w:rsid w:val="3C0D04CE"/>
    <w:rsid w:val="3C36656E"/>
    <w:rsid w:val="3C65226A"/>
    <w:rsid w:val="3C7A0101"/>
    <w:rsid w:val="3CB26924"/>
    <w:rsid w:val="3CB97B26"/>
    <w:rsid w:val="3CEC1361"/>
    <w:rsid w:val="3CFF5081"/>
    <w:rsid w:val="3D2C178A"/>
    <w:rsid w:val="3D4B5A31"/>
    <w:rsid w:val="3D525BFF"/>
    <w:rsid w:val="3D6067DA"/>
    <w:rsid w:val="3D792860"/>
    <w:rsid w:val="3DA12DAE"/>
    <w:rsid w:val="3DB37034"/>
    <w:rsid w:val="3DD570E9"/>
    <w:rsid w:val="3DF20FA0"/>
    <w:rsid w:val="3E0747AF"/>
    <w:rsid w:val="3E1A638D"/>
    <w:rsid w:val="3E617160"/>
    <w:rsid w:val="3EB1152D"/>
    <w:rsid w:val="3EE44295"/>
    <w:rsid w:val="3F0B6F2B"/>
    <w:rsid w:val="3F30557D"/>
    <w:rsid w:val="3F3C3A0D"/>
    <w:rsid w:val="3F5465F5"/>
    <w:rsid w:val="3FCD4482"/>
    <w:rsid w:val="3FD203D8"/>
    <w:rsid w:val="3FDA2369"/>
    <w:rsid w:val="3FF85F20"/>
    <w:rsid w:val="3FFF47B3"/>
    <w:rsid w:val="40212731"/>
    <w:rsid w:val="402772FD"/>
    <w:rsid w:val="402E1A6D"/>
    <w:rsid w:val="405C39B3"/>
    <w:rsid w:val="406A0379"/>
    <w:rsid w:val="40A54309"/>
    <w:rsid w:val="40D5764A"/>
    <w:rsid w:val="40E0137F"/>
    <w:rsid w:val="4105475D"/>
    <w:rsid w:val="41231EC9"/>
    <w:rsid w:val="412A5293"/>
    <w:rsid w:val="415507E6"/>
    <w:rsid w:val="41627A30"/>
    <w:rsid w:val="417B10C7"/>
    <w:rsid w:val="41D41CA2"/>
    <w:rsid w:val="41EA4FEF"/>
    <w:rsid w:val="41F7337B"/>
    <w:rsid w:val="42053F69"/>
    <w:rsid w:val="423C377E"/>
    <w:rsid w:val="425138EF"/>
    <w:rsid w:val="425F571A"/>
    <w:rsid w:val="427D3DDB"/>
    <w:rsid w:val="42A258CA"/>
    <w:rsid w:val="42D36CA9"/>
    <w:rsid w:val="436F71BF"/>
    <w:rsid w:val="437012D3"/>
    <w:rsid w:val="437A2EB2"/>
    <w:rsid w:val="439F66B3"/>
    <w:rsid w:val="43C51FCC"/>
    <w:rsid w:val="442C5A9F"/>
    <w:rsid w:val="4438633C"/>
    <w:rsid w:val="443C5FEA"/>
    <w:rsid w:val="44425872"/>
    <w:rsid w:val="44500D2A"/>
    <w:rsid w:val="448D6FED"/>
    <w:rsid w:val="44CD30D2"/>
    <w:rsid w:val="44F7272B"/>
    <w:rsid w:val="45064FBE"/>
    <w:rsid w:val="450A0BF0"/>
    <w:rsid w:val="453D438D"/>
    <w:rsid w:val="45657083"/>
    <w:rsid w:val="456617F3"/>
    <w:rsid w:val="457A0E7B"/>
    <w:rsid w:val="45972A9B"/>
    <w:rsid w:val="45B10D60"/>
    <w:rsid w:val="45CC74A1"/>
    <w:rsid w:val="45FF67F1"/>
    <w:rsid w:val="46001285"/>
    <w:rsid w:val="46333FC8"/>
    <w:rsid w:val="4640722E"/>
    <w:rsid w:val="464B6C7B"/>
    <w:rsid w:val="464F5C1E"/>
    <w:rsid w:val="46881C02"/>
    <w:rsid w:val="46AB7B44"/>
    <w:rsid w:val="46AE3330"/>
    <w:rsid w:val="46F726C3"/>
    <w:rsid w:val="46F7316C"/>
    <w:rsid w:val="470F4577"/>
    <w:rsid w:val="471F3426"/>
    <w:rsid w:val="473B3EDA"/>
    <w:rsid w:val="4752442F"/>
    <w:rsid w:val="475E748F"/>
    <w:rsid w:val="4765523D"/>
    <w:rsid w:val="476B77EC"/>
    <w:rsid w:val="478C5888"/>
    <w:rsid w:val="47901A9F"/>
    <w:rsid w:val="47922799"/>
    <w:rsid w:val="47CA6875"/>
    <w:rsid w:val="47D97FC7"/>
    <w:rsid w:val="47E27A09"/>
    <w:rsid w:val="48000BC3"/>
    <w:rsid w:val="480F276E"/>
    <w:rsid w:val="484511D1"/>
    <w:rsid w:val="484527E2"/>
    <w:rsid w:val="484E168E"/>
    <w:rsid w:val="48594C7C"/>
    <w:rsid w:val="48613C38"/>
    <w:rsid w:val="48655CE8"/>
    <w:rsid w:val="48C30900"/>
    <w:rsid w:val="48C52312"/>
    <w:rsid w:val="48DF369C"/>
    <w:rsid w:val="491C6F07"/>
    <w:rsid w:val="493354CD"/>
    <w:rsid w:val="494B6911"/>
    <w:rsid w:val="49761856"/>
    <w:rsid w:val="49940639"/>
    <w:rsid w:val="49AB468B"/>
    <w:rsid w:val="49B22D26"/>
    <w:rsid w:val="4A292EB7"/>
    <w:rsid w:val="4A370ED7"/>
    <w:rsid w:val="4A600199"/>
    <w:rsid w:val="4AD61D8B"/>
    <w:rsid w:val="4AEC002A"/>
    <w:rsid w:val="4B550A11"/>
    <w:rsid w:val="4B5C5CDE"/>
    <w:rsid w:val="4B6978CC"/>
    <w:rsid w:val="4B9755FF"/>
    <w:rsid w:val="4BE051A7"/>
    <w:rsid w:val="4BE50202"/>
    <w:rsid w:val="4BE557FA"/>
    <w:rsid w:val="4C203459"/>
    <w:rsid w:val="4C487E08"/>
    <w:rsid w:val="4C4F5739"/>
    <w:rsid w:val="4C5D11DF"/>
    <w:rsid w:val="4C8F6EBF"/>
    <w:rsid w:val="4CA77B6B"/>
    <w:rsid w:val="4CC625AA"/>
    <w:rsid w:val="4CD64AED"/>
    <w:rsid w:val="4D1F409E"/>
    <w:rsid w:val="4D6F1D0C"/>
    <w:rsid w:val="4D755439"/>
    <w:rsid w:val="4DBC074D"/>
    <w:rsid w:val="4DC73A64"/>
    <w:rsid w:val="4DE60D42"/>
    <w:rsid w:val="4E175D28"/>
    <w:rsid w:val="4E2D698F"/>
    <w:rsid w:val="4E69264D"/>
    <w:rsid w:val="4EB64BD7"/>
    <w:rsid w:val="4EC206EE"/>
    <w:rsid w:val="4ED652C6"/>
    <w:rsid w:val="4EFB7579"/>
    <w:rsid w:val="4F0931EA"/>
    <w:rsid w:val="4F26273B"/>
    <w:rsid w:val="4F676E75"/>
    <w:rsid w:val="4F9C4AA9"/>
    <w:rsid w:val="4FF534DD"/>
    <w:rsid w:val="502F7164"/>
    <w:rsid w:val="504101F5"/>
    <w:rsid w:val="50484332"/>
    <w:rsid w:val="505D1263"/>
    <w:rsid w:val="50780407"/>
    <w:rsid w:val="50E10D0C"/>
    <w:rsid w:val="50FF4E2F"/>
    <w:rsid w:val="511D4F82"/>
    <w:rsid w:val="51262417"/>
    <w:rsid w:val="513E0BA1"/>
    <w:rsid w:val="514846E2"/>
    <w:rsid w:val="515060CC"/>
    <w:rsid w:val="51564AF1"/>
    <w:rsid w:val="51EC3B57"/>
    <w:rsid w:val="51F5100B"/>
    <w:rsid w:val="52172160"/>
    <w:rsid w:val="522D1344"/>
    <w:rsid w:val="5277467D"/>
    <w:rsid w:val="528A7AE7"/>
    <w:rsid w:val="529A2FFC"/>
    <w:rsid w:val="529C2335"/>
    <w:rsid w:val="52CA0C50"/>
    <w:rsid w:val="52F04997"/>
    <w:rsid w:val="52FF66C1"/>
    <w:rsid w:val="53832185"/>
    <w:rsid w:val="53920CEE"/>
    <w:rsid w:val="53CC50AE"/>
    <w:rsid w:val="53FC1CCB"/>
    <w:rsid w:val="53FC752F"/>
    <w:rsid w:val="541154AE"/>
    <w:rsid w:val="54272E6B"/>
    <w:rsid w:val="54274D34"/>
    <w:rsid w:val="543812D4"/>
    <w:rsid w:val="543F749E"/>
    <w:rsid w:val="544B5DC1"/>
    <w:rsid w:val="54504FDD"/>
    <w:rsid w:val="54904D93"/>
    <w:rsid w:val="54954380"/>
    <w:rsid w:val="54AC13C7"/>
    <w:rsid w:val="54AF3E2F"/>
    <w:rsid w:val="54B81E43"/>
    <w:rsid w:val="54E97E61"/>
    <w:rsid w:val="555313D1"/>
    <w:rsid w:val="55662A4C"/>
    <w:rsid w:val="55734432"/>
    <w:rsid w:val="55DF2DC3"/>
    <w:rsid w:val="55F33201"/>
    <w:rsid w:val="560F30B7"/>
    <w:rsid w:val="56207147"/>
    <w:rsid w:val="56250A5B"/>
    <w:rsid w:val="563135EA"/>
    <w:rsid w:val="563E6EEB"/>
    <w:rsid w:val="56737795"/>
    <w:rsid w:val="56912411"/>
    <w:rsid w:val="569C2904"/>
    <w:rsid w:val="56A2724A"/>
    <w:rsid w:val="56AB1218"/>
    <w:rsid w:val="56AE6979"/>
    <w:rsid w:val="56BC578B"/>
    <w:rsid w:val="56E04310"/>
    <w:rsid w:val="570A03DE"/>
    <w:rsid w:val="57255C57"/>
    <w:rsid w:val="57272949"/>
    <w:rsid w:val="573279C6"/>
    <w:rsid w:val="578F351C"/>
    <w:rsid w:val="57C12963"/>
    <w:rsid w:val="57DC33A1"/>
    <w:rsid w:val="58064939"/>
    <w:rsid w:val="58430DCC"/>
    <w:rsid w:val="58513B77"/>
    <w:rsid w:val="586303D1"/>
    <w:rsid w:val="586A6EB3"/>
    <w:rsid w:val="587040B4"/>
    <w:rsid w:val="587126BA"/>
    <w:rsid w:val="588501DB"/>
    <w:rsid w:val="58CF09EC"/>
    <w:rsid w:val="58D74BC6"/>
    <w:rsid w:val="58DA7D32"/>
    <w:rsid w:val="58E30090"/>
    <w:rsid w:val="593512BC"/>
    <w:rsid w:val="59370951"/>
    <w:rsid w:val="59422BD6"/>
    <w:rsid w:val="594611C8"/>
    <w:rsid w:val="596622A8"/>
    <w:rsid w:val="597623F7"/>
    <w:rsid w:val="599855CB"/>
    <w:rsid w:val="59AC7755"/>
    <w:rsid w:val="59BC506B"/>
    <w:rsid w:val="59C06814"/>
    <w:rsid w:val="59D35FCF"/>
    <w:rsid w:val="59E27657"/>
    <w:rsid w:val="59E618A3"/>
    <w:rsid w:val="5A03560E"/>
    <w:rsid w:val="5A2D770C"/>
    <w:rsid w:val="5A3857B2"/>
    <w:rsid w:val="5A8D6E22"/>
    <w:rsid w:val="5B051866"/>
    <w:rsid w:val="5B170EC1"/>
    <w:rsid w:val="5B1E125F"/>
    <w:rsid w:val="5B523BA8"/>
    <w:rsid w:val="5B5C3848"/>
    <w:rsid w:val="5B617A31"/>
    <w:rsid w:val="5B9073F7"/>
    <w:rsid w:val="5B994905"/>
    <w:rsid w:val="5BAA245B"/>
    <w:rsid w:val="5C084785"/>
    <w:rsid w:val="5C0A126A"/>
    <w:rsid w:val="5C273957"/>
    <w:rsid w:val="5C2C1905"/>
    <w:rsid w:val="5C4700BA"/>
    <w:rsid w:val="5C756A96"/>
    <w:rsid w:val="5C7B414C"/>
    <w:rsid w:val="5C8B657B"/>
    <w:rsid w:val="5CDA409C"/>
    <w:rsid w:val="5CEE7211"/>
    <w:rsid w:val="5CF46F69"/>
    <w:rsid w:val="5CF76BF4"/>
    <w:rsid w:val="5D2C444A"/>
    <w:rsid w:val="5D320FCB"/>
    <w:rsid w:val="5D525483"/>
    <w:rsid w:val="5D5641BE"/>
    <w:rsid w:val="5D694EF6"/>
    <w:rsid w:val="5D6A11C4"/>
    <w:rsid w:val="5DA12F2E"/>
    <w:rsid w:val="5DA3755F"/>
    <w:rsid w:val="5DAE13CF"/>
    <w:rsid w:val="5DCD250B"/>
    <w:rsid w:val="5DDB01B6"/>
    <w:rsid w:val="5DDC456A"/>
    <w:rsid w:val="5DFF722A"/>
    <w:rsid w:val="5E4279B3"/>
    <w:rsid w:val="5E4B0EDE"/>
    <w:rsid w:val="5E57556F"/>
    <w:rsid w:val="5E6A285E"/>
    <w:rsid w:val="5E7078F9"/>
    <w:rsid w:val="5E711CDA"/>
    <w:rsid w:val="5E781148"/>
    <w:rsid w:val="5E8848F0"/>
    <w:rsid w:val="5EA61714"/>
    <w:rsid w:val="5EA83096"/>
    <w:rsid w:val="5EE035AA"/>
    <w:rsid w:val="5F3A110B"/>
    <w:rsid w:val="5F544ADE"/>
    <w:rsid w:val="5FC0322F"/>
    <w:rsid w:val="5FD37C5B"/>
    <w:rsid w:val="604673F0"/>
    <w:rsid w:val="606C77B2"/>
    <w:rsid w:val="606D64A0"/>
    <w:rsid w:val="60C46ED4"/>
    <w:rsid w:val="60D25A15"/>
    <w:rsid w:val="60F84A17"/>
    <w:rsid w:val="61052E80"/>
    <w:rsid w:val="61056DAF"/>
    <w:rsid w:val="612753A8"/>
    <w:rsid w:val="61347170"/>
    <w:rsid w:val="61612908"/>
    <w:rsid w:val="61737677"/>
    <w:rsid w:val="61797104"/>
    <w:rsid w:val="61865859"/>
    <w:rsid w:val="619E2C47"/>
    <w:rsid w:val="619F165D"/>
    <w:rsid w:val="61A27AD0"/>
    <w:rsid w:val="61B07F7B"/>
    <w:rsid w:val="62035F2D"/>
    <w:rsid w:val="62467775"/>
    <w:rsid w:val="6248295B"/>
    <w:rsid w:val="627E5377"/>
    <w:rsid w:val="628A613F"/>
    <w:rsid w:val="62936CE6"/>
    <w:rsid w:val="62CC2286"/>
    <w:rsid w:val="631C472A"/>
    <w:rsid w:val="63365241"/>
    <w:rsid w:val="634A476A"/>
    <w:rsid w:val="63613D1C"/>
    <w:rsid w:val="6363722B"/>
    <w:rsid w:val="6380002F"/>
    <w:rsid w:val="63836E8B"/>
    <w:rsid w:val="63862972"/>
    <w:rsid w:val="63D52938"/>
    <w:rsid w:val="63D52DC3"/>
    <w:rsid w:val="63DB3094"/>
    <w:rsid w:val="63EE2185"/>
    <w:rsid w:val="64103523"/>
    <w:rsid w:val="64130890"/>
    <w:rsid w:val="64144701"/>
    <w:rsid w:val="64474BA2"/>
    <w:rsid w:val="645D295C"/>
    <w:rsid w:val="64626C3E"/>
    <w:rsid w:val="64C915A1"/>
    <w:rsid w:val="64DA205C"/>
    <w:rsid w:val="650049A6"/>
    <w:rsid w:val="65160107"/>
    <w:rsid w:val="65531F1D"/>
    <w:rsid w:val="656D6750"/>
    <w:rsid w:val="657151FB"/>
    <w:rsid w:val="65735D84"/>
    <w:rsid w:val="65CA5EB8"/>
    <w:rsid w:val="65E07179"/>
    <w:rsid w:val="66092177"/>
    <w:rsid w:val="661A50B7"/>
    <w:rsid w:val="66410FA7"/>
    <w:rsid w:val="66444926"/>
    <w:rsid w:val="664F1FDF"/>
    <w:rsid w:val="668A54E2"/>
    <w:rsid w:val="669F6E8F"/>
    <w:rsid w:val="66B63C88"/>
    <w:rsid w:val="66B81965"/>
    <w:rsid w:val="66D026F2"/>
    <w:rsid w:val="66D45A6F"/>
    <w:rsid w:val="66D91F2E"/>
    <w:rsid w:val="66EC4D44"/>
    <w:rsid w:val="66EE52A3"/>
    <w:rsid w:val="66FE6CC3"/>
    <w:rsid w:val="671B2005"/>
    <w:rsid w:val="672A1E78"/>
    <w:rsid w:val="673A60A8"/>
    <w:rsid w:val="675020B8"/>
    <w:rsid w:val="675A5933"/>
    <w:rsid w:val="6795624D"/>
    <w:rsid w:val="679A55A8"/>
    <w:rsid w:val="67A626EF"/>
    <w:rsid w:val="67AE12CE"/>
    <w:rsid w:val="67C73559"/>
    <w:rsid w:val="67EE1027"/>
    <w:rsid w:val="680A2CD5"/>
    <w:rsid w:val="68105AAB"/>
    <w:rsid w:val="68112A26"/>
    <w:rsid w:val="682B1D3A"/>
    <w:rsid w:val="683D713C"/>
    <w:rsid w:val="68564326"/>
    <w:rsid w:val="685C6DC2"/>
    <w:rsid w:val="688F612C"/>
    <w:rsid w:val="689322AD"/>
    <w:rsid w:val="68B751C7"/>
    <w:rsid w:val="68D9424D"/>
    <w:rsid w:val="68EC2959"/>
    <w:rsid w:val="69054617"/>
    <w:rsid w:val="692D1F13"/>
    <w:rsid w:val="693A030E"/>
    <w:rsid w:val="693E4DC3"/>
    <w:rsid w:val="69500F88"/>
    <w:rsid w:val="69715E72"/>
    <w:rsid w:val="69C266CE"/>
    <w:rsid w:val="69DF144F"/>
    <w:rsid w:val="6A0D0E38"/>
    <w:rsid w:val="6A5D01A4"/>
    <w:rsid w:val="6A8219B9"/>
    <w:rsid w:val="6A95793E"/>
    <w:rsid w:val="6AA00E50"/>
    <w:rsid w:val="6ABA4B0F"/>
    <w:rsid w:val="6ACB20FD"/>
    <w:rsid w:val="6B2B2B84"/>
    <w:rsid w:val="6B6E1D88"/>
    <w:rsid w:val="6B963D85"/>
    <w:rsid w:val="6BC24DC5"/>
    <w:rsid w:val="6C736A36"/>
    <w:rsid w:val="6C75640B"/>
    <w:rsid w:val="6C7B2A22"/>
    <w:rsid w:val="6C934420"/>
    <w:rsid w:val="6CDD11CD"/>
    <w:rsid w:val="6CE05267"/>
    <w:rsid w:val="6CE40271"/>
    <w:rsid w:val="6CEA21C3"/>
    <w:rsid w:val="6CF505AC"/>
    <w:rsid w:val="6D556F64"/>
    <w:rsid w:val="6D9F74C0"/>
    <w:rsid w:val="6DA22A9E"/>
    <w:rsid w:val="6DBE3B46"/>
    <w:rsid w:val="6DCE1D1E"/>
    <w:rsid w:val="6DE33D6B"/>
    <w:rsid w:val="6E0726D2"/>
    <w:rsid w:val="6E3A26D8"/>
    <w:rsid w:val="6E4A0B0A"/>
    <w:rsid w:val="6E500CD1"/>
    <w:rsid w:val="6E5C208F"/>
    <w:rsid w:val="6E723037"/>
    <w:rsid w:val="6E761835"/>
    <w:rsid w:val="6E851A98"/>
    <w:rsid w:val="6EB1189B"/>
    <w:rsid w:val="6EC41563"/>
    <w:rsid w:val="6ECE341F"/>
    <w:rsid w:val="6F055553"/>
    <w:rsid w:val="6F1A09EB"/>
    <w:rsid w:val="6F1A2B29"/>
    <w:rsid w:val="6F2A0302"/>
    <w:rsid w:val="6F3F7EE1"/>
    <w:rsid w:val="6F9C2F56"/>
    <w:rsid w:val="6FB56789"/>
    <w:rsid w:val="6FC4529C"/>
    <w:rsid w:val="6FE724EF"/>
    <w:rsid w:val="701E2184"/>
    <w:rsid w:val="70463FB0"/>
    <w:rsid w:val="705A3033"/>
    <w:rsid w:val="70694A66"/>
    <w:rsid w:val="706B4B17"/>
    <w:rsid w:val="70801458"/>
    <w:rsid w:val="708C67C6"/>
    <w:rsid w:val="70AF6E6D"/>
    <w:rsid w:val="70C66482"/>
    <w:rsid w:val="70C94A80"/>
    <w:rsid w:val="70D0706A"/>
    <w:rsid w:val="7123259E"/>
    <w:rsid w:val="713A5025"/>
    <w:rsid w:val="71471BB9"/>
    <w:rsid w:val="71680B0F"/>
    <w:rsid w:val="71854B70"/>
    <w:rsid w:val="71EF104F"/>
    <w:rsid w:val="71F95237"/>
    <w:rsid w:val="722D514D"/>
    <w:rsid w:val="725337DC"/>
    <w:rsid w:val="725D51C5"/>
    <w:rsid w:val="725E3D3D"/>
    <w:rsid w:val="725F4D5A"/>
    <w:rsid w:val="72CF0E9B"/>
    <w:rsid w:val="72FF072E"/>
    <w:rsid w:val="73045661"/>
    <w:rsid w:val="73353A6C"/>
    <w:rsid w:val="733A35E5"/>
    <w:rsid w:val="7353025C"/>
    <w:rsid w:val="73557AEB"/>
    <w:rsid w:val="737F302F"/>
    <w:rsid w:val="73924D5F"/>
    <w:rsid w:val="739F6EDB"/>
    <w:rsid w:val="73E406F4"/>
    <w:rsid w:val="73F522EE"/>
    <w:rsid w:val="74271298"/>
    <w:rsid w:val="746B1BF9"/>
    <w:rsid w:val="74766500"/>
    <w:rsid w:val="74845D7A"/>
    <w:rsid w:val="748962D3"/>
    <w:rsid w:val="74C817E9"/>
    <w:rsid w:val="74D13C2A"/>
    <w:rsid w:val="74DD260E"/>
    <w:rsid w:val="75322E1E"/>
    <w:rsid w:val="754E66A1"/>
    <w:rsid w:val="75B9544D"/>
    <w:rsid w:val="75BF0392"/>
    <w:rsid w:val="75F25DC7"/>
    <w:rsid w:val="75FA5640"/>
    <w:rsid w:val="75FD2911"/>
    <w:rsid w:val="761F46F4"/>
    <w:rsid w:val="764C4219"/>
    <w:rsid w:val="764E771F"/>
    <w:rsid w:val="76935F53"/>
    <w:rsid w:val="76C0056C"/>
    <w:rsid w:val="76E44B48"/>
    <w:rsid w:val="76F43E80"/>
    <w:rsid w:val="76FD1966"/>
    <w:rsid w:val="77485F01"/>
    <w:rsid w:val="774A57ED"/>
    <w:rsid w:val="77620D40"/>
    <w:rsid w:val="77737FCB"/>
    <w:rsid w:val="77763557"/>
    <w:rsid w:val="77814BC8"/>
    <w:rsid w:val="779F3D83"/>
    <w:rsid w:val="77AF3E74"/>
    <w:rsid w:val="77C701A9"/>
    <w:rsid w:val="77D5581E"/>
    <w:rsid w:val="77E93077"/>
    <w:rsid w:val="77F27C02"/>
    <w:rsid w:val="781D6991"/>
    <w:rsid w:val="783E1BEC"/>
    <w:rsid w:val="784E71DF"/>
    <w:rsid w:val="78540D7D"/>
    <w:rsid w:val="785A6DAA"/>
    <w:rsid w:val="789E6EBD"/>
    <w:rsid w:val="78C20EA8"/>
    <w:rsid w:val="790B57D8"/>
    <w:rsid w:val="790B6D58"/>
    <w:rsid w:val="79183C14"/>
    <w:rsid w:val="79291E78"/>
    <w:rsid w:val="79AF1C6D"/>
    <w:rsid w:val="79CA7B2C"/>
    <w:rsid w:val="79CC6A81"/>
    <w:rsid w:val="79E64949"/>
    <w:rsid w:val="7A2F1CB5"/>
    <w:rsid w:val="7AA179F0"/>
    <w:rsid w:val="7AA65250"/>
    <w:rsid w:val="7AA8278C"/>
    <w:rsid w:val="7AAE26D0"/>
    <w:rsid w:val="7AE16D71"/>
    <w:rsid w:val="7AE84FBC"/>
    <w:rsid w:val="7AF761D9"/>
    <w:rsid w:val="7B320699"/>
    <w:rsid w:val="7B9B28DB"/>
    <w:rsid w:val="7BD02646"/>
    <w:rsid w:val="7BD27F57"/>
    <w:rsid w:val="7BF35112"/>
    <w:rsid w:val="7BF6377E"/>
    <w:rsid w:val="7BFA7F7A"/>
    <w:rsid w:val="7C094260"/>
    <w:rsid w:val="7C1266C5"/>
    <w:rsid w:val="7C1B48DE"/>
    <w:rsid w:val="7C2C1E15"/>
    <w:rsid w:val="7C84703D"/>
    <w:rsid w:val="7CB53C71"/>
    <w:rsid w:val="7CB63B55"/>
    <w:rsid w:val="7CBC31DA"/>
    <w:rsid w:val="7CCB3D37"/>
    <w:rsid w:val="7CD0502E"/>
    <w:rsid w:val="7CD42218"/>
    <w:rsid w:val="7D2E1A4A"/>
    <w:rsid w:val="7D846C0E"/>
    <w:rsid w:val="7D963331"/>
    <w:rsid w:val="7D9C49E0"/>
    <w:rsid w:val="7D9C539A"/>
    <w:rsid w:val="7DB07306"/>
    <w:rsid w:val="7DB55021"/>
    <w:rsid w:val="7DFC77ED"/>
    <w:rsid w:val="7E1259A1"/>
    <w:rsid w:val="7E334C61"/>
    <w:rsid w:val="7E4328CE"/>
    <w:rsid w:val="7ECF6A67"/>
    <w:rsid w:val="7EEC1F1A"/>
    <w:rsid w:val="7EF017CD"/>
    <w:rsid w:val="7EF121CF"/>
    <w:rsid w:val="7F1F3F0B"/>
    <w:rsid w:val="7F3A4641"/>
    <w:rsid w:val="7F4F4E90"/>
    <w:rsid w:val="7F535D87"/>
    <w:rsid w:val="7F5C6627"/>
    <w:rsid w:val="7F6C4CBA"/>
    <w:rsid w:val="7FA018BD"/>
    <w:rsid w:val="7FA51C53"/>
    <w:rsid w:val="7FBD6439"/>
    <w:rsid w:val="7FBF5BEF"/>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link w:val="27"/>
    <w:qFormat/>
    <w:uiPriority w:val="0"/>
    <w:pPr>
      <w:keepNext/>
      <w:keepLines/>
      <w:spacing w:before="260" w:after="260" w:line="415"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Normal Indent"/>
    <w:basedOn w:val="1"/>
    <w:unhideWhenUsed/>
    <w:qFormat/>
    <w:uiPriority w:val="99"/>
    <w:pPr>
      <w:ind w:firstLine="420"/>
    </w:pPr>
    <w:rPr>
      <w:szCs w:val="20"/>
    </w:rPr>
  </w:style>
  <w:style w:type="paragraph" w:styleId="6">
    <w:name w:val="caption"/>
    <w:basedOn w:val="1"/>
    <w:next w:val="1"/>
    <w:qFormat/>
    <w:uiPriority w:val="0"/>
    <w:pPr>
      <w:adjustRightInd w:val="0"/>
      <w:snapToGrid w:val="0"/>
      <w:spacing w:line="360" w:lineRule="auto"/>
      <w:ind w:firstLine="200" w:firstLineChars="200"/>
    </w:pPr>
    <w:rPr>
      <w:rFonts w:ascii="Arial" w:hAnsi="Arial" w:eastAsia="黑体"/>
      <w:sz w:val="20"/>
      <w:szCs w:val="20"/>
    </w:rPr>
  </w:style>
  <w:style w:type="paragraph" w:styleId="7">
    <w:name w:val="annotation text"/>
    <w:basedOn w:val="1"/>
    <w:link w:val="24"/>
    <w:semiHidden/>
    <w:qFormat/>
    <w:uiPriority w:val="0"/>
    <w:pPr>
      <w:jc w:val="left"/>
    </w:pPr>
    <w:rPr>
      <w:rFonts w:ascii="Arial" w:hAnsi="Arial" w:cs="Arial"/>
    </w:rPr>
  </w:style>
  <w:style w:type="paragraph" w:styleId="8">
    <w:name w:val="Body Text"/>
    <w:basedOn w:val="1"/>
    <w:next w:val="9"/>
    <w:qFormat/>
    <w:uiPriority w:val="0"/>
    <w:pPr>
      <w:adjustRightInd w:val="0"/>
      <w:spacing w:after="60" w:line="360" w:lineRule="atLeast"/>
      <w:ind w:left="72" w:leftChars="30" w:right="30" w:rightChars="30"/>
      <w:jc w:val="center"/>
      <w:textAlignment w:val="baseline"/>
    </w:pPr>
    <w:rPr>
      <w:kern w:val="0"/>
      <w:sz w:val="20"/>
      <w:szCs w:val="20"/>
    </w:rPr>
  </w:style>
  <w:style w:type="paragraph" w:styleId="9">
    <w:name w:val="Body Text First Indent"/>
    <w:basedOn w:val="8"/>
    <w:next w:val="10"/>
    <w:unhideWhenUsed/>
    <w:qFormat/>
    <w:uiPriority w:val="99"/>
    <w:pPr>
      <w:ind w:firstLine="420" w:firstLineChars="100"/>
    </w:pPr>
  </w:style>
  <w:style w:type="paragraph" w:styleId="10">
    <w:name w:val="toc 6"/>
    <w:basedOn w:val="1"/>
    <w:next w:val="1"/>
    <w:qFormat/>
    <w:uiPriority w:val="99"/>
    <w:pPr>
      <w:ind w:left="2100" w:leftChars="1000"/>
    </w:pPr>
    <w:rPr>
      <w:rFonts w:ascii="Calibri" w:hAnsi="Calibri"/>
      <w:szCs w:val="22"/>
    </w:rPr>
  </w:style>
  <w:style w:type="paragraph" w:styleId="11">
    <w:name w:val="Body Text Indent"/>
    <w:basedOn w:val="1"/>
    <w:next w:val="12"/>
    <w:link w:val="28"/>
    <w:qFormat/>
    <w:uiPriority w:val="0"/>
    <w:pPr>
      <w:tabs>
        <w:tab w:val="left" w:pos="7060"/>
      </w:tabs>
      <w:spacing w:line="360" w:lineRule="auto"/>
      <w:ind w:firstLine="560" w:firstLineChars="200"/>
    </w:pPr>
    <w:rPr>
      <w:rFonts w:eastAsia="新宋体"/>
      <w:sz w:val="28"/>
    </w:rPr>
  </w:style>
  <w:style w:type="paragraph" w:styleId="12">
    <w:name w:val="envelope return"/>
    <w:basedOn w:val="1"/>
    <w:qFormat/>
    <w:uiPriority w:val="0"/>
    <w:pPr>
      <w:snapToGrid w:val="0"/>
    </w:pPr>
    <w:rPr>
      <w:rFonts w:ascii="Arial" w:hAnsi="Arial"/>
    </w:rPr>
  </w:style>
  <w:style w:type="paragraph" w:styleId="13">
    <w:name w:val="Balloon Text"/>
    <w:basedOn w:val="1"/>
    <w:link w:val="29"/>
    <w:unhideWhenUsed/>
    <w:qFormat/>
    <w:uiPriority w:val="99"/>
    <w:rPr>
      <w:sz w:val="18"/>
      <w:szCs w:val="18"/>
    </w:r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First Indent 2"/>
    <w:basedOn w:val="11"/>
    <w:qFormat/>
    <w:uiPriority w:val="0"/>
    <w:pPr>
      <w:tabs>
        <w:tab w:val="left" w:pos="0"/>
        <w:tab w:val="left" w:pos="993"/>
        <w:tab w:val="left" w:pos="1134"/>
      </w:tabs>
      <w:ind w:firstLine="420" w:firstLineChars="200"/>
    </w:pPr>
  </w:style>
  <w:style w:type="character" w:styleId="19">
    <w:name w:val="page number"/>
    <w:basedOn w:val="18"/>
    <w:qFormat/>
    <w:uiPriority w:val="99"/>
    <w:rPr>
      <w:rFonts w:cs="Times New Roman"/>
    </w:rPr>
  </w:style>
  <w:style w:type="character" w:styleId="20">
    <w:name w:val="FollowedHyperlink"/>
    <w:basedOn w:val="18"/>
    <w:unhideWhenUsed/>
    <w:qFormat/>
    <w:uiPriority w:val="99"/>
    <w:rPr>
      <w:color w:val="800080" w:themeColor="followedHyperlink"/>
      <w:u w:val="single"/>
    </w:rPr>
  </w:style>
  <w:style w:type="character" w:styleId="21">
    <w:name w:val="Hyperlink"/>
    <w:qFormat/>
    <w:uiPriority w:val="0"/>
    <w:rPr>
      <w:color w:val="0000FF"/>
      <w:u w:val="single"/>
    </w:rPr>
  </w:style>
  <w:style w:type="paragraph" w:customStyle="1" w:styleId="22">
    <w:name w:val="Char"/>
    <w:basedOn w:val="1"/>
    <w:qFormat/>
    <w:uiPriority w:val="0"/>
    <w:pPr>
      <w:adjustRightInd w:val="0"/>
      <w:snapToGrid w:val="0"/>
    </w:pPr>
    <w:rPr>
      <w:szCs w:val="20"/>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批注文字 Char"/>
    <w:basedOn w:val="18"/>
    <w:link w:val="7"/>
    <w:semiHidden/>
    <w:qFormat/>
    <w:uiPriority w:val="0"/>
    <w:rPr>
      <w:rFonts w:ascii="Arial" w:hAnsi="Arial" w:eastAsia="宋体" w:cs="Arial"/>
      <w:szCs w:val="24"/>
    </w:rPr>
  </w:style>
  <w:style w:type="character" w:customStyle="1" w:styleId="25">
    <w:name w:val="页眉 Char"/>
    <w:basedOn w:val="18"/>
    <w:link w:val="15"/>
    <w:qFormat/>
    <w:uiPriority w:val="99"/>
    <w:rPr>
      <w:rFonts w:ascii="Times New Roman" w:hAnsi="Times New Roman" w:eastAsia="宋体" w:cs="Times New Roman"/>
      <w:sz w:val="18"/>
      <w:szCs w:val="18"/>
    </w:rPr>
  </w:style>
  <w:style w:type="character" w:customStyle="1" w:styleId="26">
    <w:name w:val="页脚 Char"/>
    <w:basedOn w:val="18"/>
    <w:link w:val="14"/>
    <w:qFormat/>
    <w:uiPriority w:val="99"/>
    <w:rPr>
      <w:rFonts w:ascii="Times New Roman" w:hAnsi="Times New Roman" w:eastAsia="宋体" w:cs="Times New Roman"/>
      <w:sz w:val="18"/>
      <w:szCs w:val="18"/>
    </w:rPr>
  </w:style>
  <w:style w:type="character" w:customStyle="1" w:styleId="27">
    <w:name w:val="标题 3 Char"/>
    <w:basedOn w:val="18"/>
    <w:link w:val="4"/>
    <w:qFormat/>
    <w:uiPriority w:val="0"/>
    <w:rPr>
      <w:rFonts w:ascii="Times New Roman" w:hAnsi="Times New Roman" w:eastAsia="宋体" w:cs="Times New Roman"/>
      <w:b/>
      <w:bCs/>
      <w:sz w:val="32"/>
      <w:szCs w:val="32"/>
    </w:rPr>
  </w:style>
  <w:style w:type="character" w:customStyle="1" w:styleId="28">
    <w:name w:val="正文文本缩进 Char"/>
    <w:basedOn w:val="18"/>
    <w:link w:val="11"/>
    <w:qFormat/>
    <w:uiPriority w:val="0"/>
    <w:rPr>
      <w:rFonts w:ascii="Times New Roman" w:hAnsi="Times New Roman" w:eastAsia="新宋体" w:cs="Times New Roman"/>
      <w:sz w:val="28"/>
      <w:szCs w:val="24"/>
    </w:rPr>
  </w:style>
  <w:style w:type="character" w:customStyle="1" w:styleId="29">
    <w:name w:val="批注框文本 Char"/>
    <w:basedOn w:val="18"/>
    <w:link w:val="13"/>
    <w:semiHidden/>
    <w:qFormat/>
    <w:uiPriority w:val="99"/>
    <w:rPr>
      <w:rFonts w:ascii="Times New Roman" w:hAnsi="Times New Roman" w:eastAsia="宋体" w:cs="Times New Roman"/>
      <w:sz w:val="18"/>
      <w:szCs w:val="18"/>
    </w:rPr>
  </w:style>
  <w:style w:type="paragraph" w:styleId="30">
    <w:name w:val="List Paragraph"/>
    <w:basedOn w:val="1"/>
    <w:unhideWhenUsed/>
    <w:qFormat/>
    <w:uiPriority w:val="99"/>
    <w:pPr>
      <w:ind w:firstLine="420" w:firstLineChars="200"/>
    </w:pPr>
  </w:style>
  <w:style w:type="character" w:customStyle="1" w:styleId="31">
    <w:name w:val="font41"/>
    <w:basedOn w:val="18"/>
    <w:qFormat/>
    <w:uiPriority w:val="0"/>
    <w:rPr>
      <w:rFonts w:hint="eastAsia" w:ascii="宋体" w:hAnsi="宋体" w:eastAsia="宋体" w:cs="宋体"/>
      <w:color w:val="000000"/>
      <w:sz w:val="44"/>
      <w:szCs w:val="44"/>
      <w:u w:val="none"/>
      <w:vertAlign w:val="superscript"/>
    </w:rPr>
  </w:style>
  <w:style w:type="character" w:customStyle="1" w:styleId="32">
    <w:name w:val="font11"/>
    <w:basedOn w:val="18"/>
    <w:qFormat/>
    <w:uiPriority w:val="0"/>
    <w:rPr>
      <w:rFonts w:hint="eastAsia" w:ascii="宋体" w:hAnsi="宋体" w:eastAsia="宋体" w:cs="宋体"/>
      <w:color w:val="000000"/>
      <w:sz w:val="44"/>
      <w:szCs w:val="44"/>
      <w:u w:val="none"/>
    </w:rPr>
  </w:style>
  <w:style w:type="character" w:customStyle="1" w:styleId="33">
    <w:name w:val="font31"/>
    <w:basedOn w:val="18"/>
    <w:qFormat/>
    <w:uiPriority w:val="0"/>
    <w:rPr>
      <w:rFonts w:hint="eastAsia" w:ascii="宋体" w:hAnsi="宋体" w:eastAsia="宋体" w:cs="宋体"/>
      <w:color w:val="000000"/>
      <w:sz w:val="16"/>
      <w:szCs w:val="16"/>
      <w:u w:val="none"/>
      <w:vertAlign w:val="superscript"/>
    </w:rPr>
  </w:style>
  <w:style w:type="character" w:customStyle="1" w:styleId="34">
    <w:name w:val="font01"/>
    <w:basedOn w:val="18"/>
    <w:qFormat/>
    <w:uiPriority w:val="0"/>
    <w:rPr>
      <w:rFonts w:hint="eastAsia" w:ascii="宋体" w:hAnsi="宋体" w:eastAsia="宋体" w:cs="宋体"/>
      <w:color w:val="000000"/>
      <w:sz w:val="16"/>
      <w:szCs w:val="16"/>
      <w:u w:val="none"/>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26</Pages>
  <Words>26123</Words>
  <Characters>27061</Characters>
  <Lines>82</Lines>
  <Paragraphs>23</Paragraphs>
  <TotalTime>0</TotalTime>
  <ScaleCrop>false</ScaleCrop>
  <LinksUpToDate>false</LinksUpToDate>
  <CharactersWithSpaces>28154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2022-01-18T05:51:00Z</cp:lastPrinted>
  <dcterms:modified xsi:type="dcterms:W3CDTF">2022-05-07T08:05:59Z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6C7A591E7EB7451AB1F76F941FD7FC59</vt:lpwstr>
  </property>
</Properties>
</file>