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lang w:val="en-US" w:eastAsia="zh-CN"/>
        </w:rPr>
      </w:pPr>
      <w:r>
        <w:rPr>
          <w:rFonts w:hint="eastAsia" w:asciiTheme="majorEastAsia" w:hAnsiTheme="majorEastAsia" w:eastAsiaTheme="majorEastAsia" w:cstheme="majorEastAsia"/>
          <w:b/>
          <w:color w:val="000000"/>
          <w:sz w:val="48"/>
          <w:szCs w:val="48"/>
          <w:lang w:val="en-US" w:eastAsia="zh-CN"/>
        </w:rPr>
        <w:t>南浔区现代种业综合发展示范区建设项目——产村融合区（杨港秋千、漫步道建设）劳务分包工程</w:t>
      </w: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6</w:t>
      </w:r>
      <w:r>
        <w:rPr>
          <w:rFonts w:hint="eastAsia" w:ascii="宋体" w:hAnsi="宋体"/>
          <w:b/>
          <w:sz w:val="30"/>
          <w:szCs w:val="30"/>
        </w:rPr>
        <w:t xml:space="preserve">月 </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南浔区现代种业综合发展示范区建设项目——产村融合区（杨港秋千、漫步道建设）劳务分包工程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宋体"/>
          <w:b w:val="0"/>
          <w:bCs w:val="0"/>
          <w:color w:val="auto"/>
          <w:spacing w:val="0"/>
          <w:kern w:val="0"/>
          <w:sz w:val="21"/>
          <w:szCs w:val="21"/>
          <w:u w:val="none"/>
          <w:lang w:val="en-US" w:eastAsia="zh-CN" w:bidi="ar-SA"/>
        </w:rPr>
        <w:t>产村融合区秋千、漫步道的建设</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auto"/>
          <w:spacing w:val="0"/>
          <w:kern w:val="0"/>
          <w:sz w:val="21"/>
          <w:szCs w:val="21"/>
          <w:u w:val="none"/>
          <w:lang w:val="en-US" w:eastAsia="zh-CN" w:bidi="ar-SA"/>
        </w:rPr>
        <w:t>施工图范围内的产村融合区秋千、漫步道的建设</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南浔区现代种业综合发展示范区建设项目——产村融合区（杨港秋千、漫步道建设）劳务分包工程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cs="宋体"/>
          <w:b w:val="0"/>
          <w:bCs w:val="0"/>
          <w:color w:val="auto"/>
          <w:spacing w:val="0"/>
          <w:kern w:val="0"/>
          <w:sz w:val="21"/>
          <w:szCs w:val="21"/>
          <w:u w:val="none"/>
          <w:lang w:val="en-US" w:eastAsia="zh-CN" w:bidi="ar-SA"/>
        </w:rPr>
        <w:t>施工图范围内的产村融合区秋千、漫步道的建设</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eastAsia="宋体" w:cs="宋体"/>
          <w:color w:val="FF0000"/>
          <w:kern w:val="0"/>
          <w:sz w:val="21"/>
          <w:szCs w:val="21"/>
          <w:u w:val="none"/>
          <w:lang w:val="en-US" w:eastAsia="zh-CN" w:bidi="ar-SA"/>
        </w:rPr>
        <w:t>产村融合区</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资格：1、已入湖州南浔城投城市建设集团有限公司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市政、绿化劳务资质分包库</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2、具备劳务资质。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2022年6月21日至2022年6月23日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u w:val="single"/>
          <w:lang w:val="en-US" w:eastAsia="zh-CN"/>
        </w:rPr>
        <w:t>13</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暂估价190万元，其中劳务暂估价38万元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pStyle w:val="4"/>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auto"/>
                <w:spacing w:val="0"/>
                <w:kern w:val="0"/>
                <w:sz w:val="21"/>
                <w:szCs w:val="21"/>
                <w:u w:val="single"/>
                <w:lang w:val="en-US" w:eastAsia="zh-CN" w:bidi="ar-SA"/>
              </w:rPr>
              <w:t>南浔生态宜居排水系统改造工程—九里桥港水街项目场地平整劳务分包工程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宋体"/>
                <w:b w:val="0"/>
                <w:bCs w:val="0"/>
                <w:color w:val="auto"/>
                <w:spacing w:val="0"/>
                <w:kern w:val="0"/>
                <w:sz w:val="21"/>
                <w:szCs w:val="21"/>
                <w:u w:val="none"/>
                <w:lang w:val="en-US" w:eastAsia="zh-CN" w:bidi="ar-SA"/>
              </w:rPr>
              <w:t>施工图范围内的产村融合区秋千、漫步道的建设</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按招标人要求</w:t>
            </w:r>
            <w:bookmarkStart w:id="46" w:name="_GoBack"/>
            <w:bookmarkEnd w:id="46"/>
            <w:r>
              <w:rPr>
                <w:rFonts w:hint="eastAsia" w:hAnsi="宋体"/>
                <w:color w:val="auto"/>
                <w:spacing w:val="-6"/>
                <w:sz w:val="21"/>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2022年6月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kern w:val="0"/>
                <w:szCs w:val="21"/>
              </w:rPr>
              <w:t>，密封后于投标截止前递交至建设集团公司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4"/>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4"/>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4"/>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投标人须知第</w:t>
      </w:r>
      <w:r>
        <w:rPr>
          <w:rFonts w:hint="eastAsia" w:ascii="宋体" w:hAnsi="宋体"/>
          <w:sz w:val="21"/>
          <w:szCs w:val="21"/>
          <w:lang w:val="en-US" w:eastAsia="zh-CN"/>
        </w:rPr>
        <w:t>4</w:t>
      </w:r>
      <w:r>
        <w:rPr>
          <w:rFonts w:hint="eastAsia" w:ascii="宋体" w:hAnsi="宋体"/>
          <w:sz w:val="21"/>
          <w:szCs w:val="21"/>
        </w:rPr>
        <w:t>.1条投标文件的组成”及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w:t>
      </w:r>
    </w:p>
    <w:p>
      <w:pPr>
        <w:autoSpaceDE w:val="0"/>
        <w:autoSpaceDN w:val="0"/>
        <w:adjustRightInd w:val="0"/>
        <w:jc w:val="left"/>
        <w:rPr>
          <w:rFonts w:ascii="宋体" w:hAnsi="宋体" w:cs="黑体"/>
          <w:kern w:val="0"/>
          <w:szCs w:val="21"/>
        </w:rPr>
      </w:pPr>
      <w:r>
        <w:rPr>
          <w:rFonts w:ascii="宋体" w:hAnsi="宋体" w:cs="TimesNewRomanPSMT"/>
          <w:kern w:val="0"/>
          <w:szCs w:val="21"/>
        </w:rPr>
        <w:t>8.1</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snapToGrid w:val="0"/>
        <w:rPr>
          <w:rFonts w:hint="eastAsia" w:ascii="宋体" w:hAnsi="宋体"/>
          <w:color w:val="auto"/>
          <w:sz w:val="21"/>
          <w:szCs w:val="21"/>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auto"/>
          <w:sz w:val="21"/>
          <w:szCs w:val="21"/>
        </w:rPr>
        <w:t>投标报价</w:t>
      </w:r>
      <w:r>
        <w:rPr>
          <w:rFonts w:hint="eastAsia" w:ascii="宋体" w:hAnsi="宋体"/>
          <w:color w:val="auto"/>
          <w:sz w:val="21"/>
          <w:szCs w:val="21"/>
          <w:lang w:val="en-US" w:eastAsia="zh-CN"/>
        </w:rPr>
        <w:t>低于基础下浮率</w:t>
      </w:r>
      <w:r>
        <w:rPr>
          <w:rFonts w:hint="eastAsia" w:ascii="宋体" w:hAnsi="宋体"/>
          <w:color w:val="auto"/>
          <w:sz w:val="21"/>
          <w:szCs w:val="21"/>
        </w:rPr>
        <w:t>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存在法律、法规、规章规定的其它否决投标情况的：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179632593"/>
      <w:bookmarkStart w:id="4" w:name="_Toc246996962"/>
      <w:bookmarkStart w:id="5" w:name="_Toc296602462"/>
      <w:bookmarkStart w:id="6" w:name="_Toc152045575"/>
      <w:bookmarkStart w:id="7" w:name="_Toc152042351"/>
      <w:bookmarkStart w:id="8" w:name="_Toc246996219"/>
      <w:bookmarkStart w:id="9" w:name="_Toc144974543"/>
      <w:bookmarkStart w:id="10" w:name="_Toc296590983"/>
      <w:bookmarkStart w:id="11" w:name="_Toc24708573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246996963"/>
      <w:bookmarkStart w:id="13" w:name="_Toc144974544"/>
      <w:bookmarkStart w:id="14" w:name="_Toc246996220"/>
      <w:bookmarkStart w:id="15" w:name="_Toc179632594"/>
      <w:bookmarkStart w:id="16" w:name="_Toc152042352"/>
      <w:bookmarkStart w:id="17" w:name="_Toc152045576"/>
      <w:bookmarkStart w:id="18" w:name="_Toc296602463"/>
      <w:bookmarkStart w:id="19" w:name="_Toc247085734"/>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144974545"/>
      <w:bookmarkStart w:id="21" w:name="_Toc152042353"/>
      <w:bookmarkStart w:id="22" w:name="_Toc247085735"/>
      <w:bookmarkStart w:id="23" w:name="_Toc246996221"/>
      <w:bookmarkStart w:id="24" w:name="_Toc296602464"/>
      <w:bookmarkStart w:id="25" w:name="_Toc152045577"/>
      <w:bookmarkStart w:id="26" w:name="_Toc179632595"/>
      <w:bookmarkStart w:id="27" w:name="_Toc246996964"/>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179632596"/>
      <w:bookmarkStart w:id="29" w:name="_Toc247085736"/>
      <w:bookmarkStart w:id="30" w:name="_Toc246996222"/>
      <w:bookmarkStart w:id="31" w:name="_Toc152045578"/>
      <w:bookmarkStart w:id="32" w:name="_Toc246996965"/>
      <w:bookmarkStart w:id="33" w:name="_Toc152042354"/>
      <w:bookmarkStart w:id="34" w:name="_Toc296602465"/>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246996223"/>
      <w:bookmarkStart w:id="38" w:name="_Toc246996966"/>
      <w:bookmarkStart w:id="39" w:name="_Toc152045579"/>
      <w:bookmarkStart w:id="40" w:name="_Toc179632597"/>
      <w:bookmarkStart w:id="41" w:name="_Toc152042356"/>
      <w:bookmarkStart w:id="42" w:name="_Toc247085737"/>
      <w:bookmarkStart w:id="43" w:name="_Toc29660246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both"/>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结算审计价</w:t>
      </w:r>
      <w:r>
        <w:rPr>
          <w:rFonts w:hint="eastAsia" w:ascii="宋体" w:hAnsi="宋体" w:cs="TimesNewRomanPSMT"/>
          <w:color w:val="0000FF"/>
          <w:szCs w:val="21"/>
          <w:lang w:val="en-US" w:eastAsia="zh-CN"/>
        </w:rPr>
        <w:t>为业主确认及委托的第三方审计公司和招标单位的结算</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混凝土、方钢、苗木、碎石、砖等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hint="eastAsia" w:ascii="宋体" w:hAnsi="宋体" w:eastAsia="宋体" w:cs="黑体"/>
          <w:b/>
          <w:kern w:val="0"/>
          <w:sz w:val="32"/>
          <w:szCs w:val="32"/>
          <w:lang w:eastAsia="zh-CN"/>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5"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职务：</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ascii="仿宋_GB2312" w:eastAsia="仿宋_GB2312"/>
                <w:szCs w:val="21"/>
              </w:rPr>
            </w:pPr>
            <w:r>
              <w:rPr>
                <w:rFonts w:hint="eastAsia" w:ascii="仿宋_GB2312" w:eastAsia="仿宋_GB2312"/>
                <w:szCs w:val="21"/>
                <w:lang w:val="en-US" w:eastAsia="zh-CN"/>
              </w:rPr>
              <w:t>法定代表人</w:t>
            </w:r>
            <w:r>
              <w:rPr>
                <w:rFonts w:hint="eastAsia" w:ascii="仿宋_GB2312" w:eastAsia="仿宋_GB2312"/>
                <w:szCs w:val="21"/>
              </w:rPr>
              <w:t>身份证复印件</w:t>
            </w:r>
          </w:p>
        </w:tc>
      </w:tr>
    </w:tbl>
    <w:p>
      <w:pPr>
        <w:rPr>
          <w:rFonts w:hint="eastAsia" w:ascii="黑体" w:hAnsi="黑体" w:eastAsia="黑体" w:cs="黑体"/>
          <w:sz w:val="32"/>
          <w:szCs w:val="32"/>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640F3A"/>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B3122"/>
    <w:rsid w:val="068D7149"/>
    <w:rsid w:val="06E14433"/>
    <w:rsid w:val="06EF1648"/>
    <w:rsid w:val="07014EB5"/>
    <w:rsid w:val="073339CC"/>
    <w:rsid w:val="0736578B"/>
    <w:rsid w:val="07512D0C"/>
    <w:rsid w:val="07667DD0"/>
    <w:rsid w:val="07686198"/>
    <w:rsid w:val="077A07CA"/>
    <w:rsid w:val="07870DD4"/>
    <w:rsid w:val="078B756F"/>
    <w:rsid w:val="07933142"/>
    <w:rsid w:val="07A05E7D"/>
    <w:rsid w:val="07DF3C55"/>
    <w:rsid w:val="08103BAC"/>
    <w:rsid w:val="08687625"/>
    <w:rsid w:val="086B1627"/>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A0EA1"/>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940583"/>
    <w:rsid w:val="10B412E9"/>
    <w:rsid w:val="10B753FB"/>
    <w:rsid w:val="10C20877"/>
    <w:rsid w:val="10CB7B87"/>
    <w:rsid w:val="10EE5A6A"/>
    <w:rsid w:val="11151C5F"/>
    <w:rsid w:val="11342AE3"/>
    <w:rsid w:val="113B73CF"/>
    <w:rsid w:val="11547BE0"/>
    <w:rsid w:val="115E2150"/>
    <w:rsid w:val="115F6B1C"/>
    <w:rsid w:val="11E13363"/>
    <w:rsid w:val="11E16675"/>
    <w:rsid w:val="11E20196"/>
    <w:rsid w:val="11E74EAE"/>
    <w:rsid w:val="11FF67AE"/>
    <w:rsid w:val="12252EE6"/>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5A2612"/>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846218"/>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851020"/>
    <w:rsid w:val="1EA67FE3"/>
    <w:rsid w:val="1EC052DA"/>
    <w:rsid w:val="1ECA6EAF"/>
    <w:rsid w:val="1EF1119A"/>
    <w:rsid w:val="1EF403AD"/>
    <w:rsid w:val="1EFD48B8"/>
    <w:rsid w:val="1F0A411A"/>
    <w:rsid w:val="1F207B44"/>
    <w:rsid w:val="1F2B3856"/>
    <w:rsid w:val="1F525CE0"/>
    <w:rsid w:val="1F6C0404"/>
    <w:rsid w:val="1F707A57"/>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137077"/>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323C79"/>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9C366A"/>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4D4487"/>
    <w:rsid w:val="2B797A36"/>
    <w:rsid w:val="2BC453B2"/>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A75E76"/>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4E367B"/>
    <w:rsid w:val="309B06AC"/>
    <w:rsid w:val="30AE1D52"/>
    <w:rsid w:val="30E7266C"/>
    <w:rsid w:val="30EA5331"/>
    <w:rsid w:val="311A0F54"/>
    <w:rsid w:val="315111F1"/>
    <w:rsid w:val="316A42B7"/>
    <w:rsid w:val="316C2015"/>
    <w:rsid w:val="317B512E"/>
    <w:rsid w:val="31A04819"/>
    <w:rsid w:val="31C75E2F"/>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6A45BE"/>
    <w:rsid w:val="33866163"/>
    <w:rsid w:val="33AD4398"/>
    <w:rsid w:val="33CB03EB"/>
    <w:rsid w:val="33D846B8"/>
    <w:rsid w:val="33D93647"/>
    <w:rsid w:val="33E118EB"/>
    <w:rsid w:val="33E24E2C"/>
    <w:rsid w:val="33F3561C"/>
    <w:rsid w:val="33F4138D"/>
    <w:rsid w:val="341325A0"/>
    <w:rsid w:val="34381F13"/>
    <w:rsid w:val="344C2238"/>
    <w:rsid w:val="34A26983"/>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71CF5"/>
    <w:rsid w:val="394E7DD5"/>
    <w:rsid w:val="396A5DF5"/>
    <w:rsid w:val="396F20BC"/>
    <w:rsid w:val="39734A06"/>
    <w:rsid w:val="39A8483F"/>
    <w:rsid w:val="39CB0253"/>
    <w:rsid w:val="39CB45BD"/>
    <w:rsid w:val="39EC31C6"/>
    <w:rsid w:val="39FC39DC"/>
    <w:rsid w:val="3A0F0192"/>
    <w:rsid w:val="3A142266"/>
    <w:rsid w:val="3A2D6B32"/>
    <w:rsid w:val="3A2E088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B503D8"/>
    <w:rsid w:val="3EE44295"/>
    <w:rsid w:val="3F0B6F2B"/>
    <w:rsid w:val="3F30557D"/>
    <w:rsid w:val="3F3C3A0D"/>
    <w:rsid w:val="3FCD4482"/>
    <w:rsid w:val="3FD203D8"/>
    <w:rsid w:val="3FDA2369"/>
    <w:rsid w:val="3FF85F20"/>
    <w:rsid w:val="40212731"/>
    <w:rsid w:val="402772FD"/>
    <w:rsid w:val="402C30CE"/>
    <w:rsid w:val="402E1A6D"/>
    <w:rsid w:val="406A0379"/>
    <w:rsid w:val="40A66A4D"/>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2D4705B"/>
    <w:rsid w:val="42E33A23"/>
    <w:rsid w:val="436F71BF"/>
    <w:rsid w:val="437012D3"/>
    <w:rsid w:val="437A2EB2"/>
    <w:rsid w:val="439F08BB"/>
    <w:rsid w:val="439F66B3"/>
    <w:rsid w:val="43C51FCC"/>
    <w:rsid w:val="440C28B6"/>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A7740B"/>
    <w:rsid w:val="48C30900"/>
    <w:rsid w:val="48C52312"/>
    <w:rsid w:val="48DF369C"/>
    <w:rsid w:val="491C6F07"/>
    <w:rsid w:val="494B6911"/>
    <w:rsid w:val="49761856"/>
    <w:rsid w:val="49940639"/>
    <w:rsid w:val="49AB468B"/>
    <w:rsid w:val="49CA74E0"/>
    <w:rsid w:val="4A037E09"/>
    <w:rsid w:val="4A370ED7"/>
    <w:rsid w:val="4A600199"/>
    <w:rsid w:val="4A71468E"/>
    <w:rsid w:val="4AA20D8F"/>
    <w:rsid w:val="4AD61D8B"/>
    <w:rsid w:val="4B145C5E"/>
    <w:rsid w:val="4B550A11"/>
    <w:rsid w:val="4B5C5CDE"/>
    <w:rsid w:val="4B897627"/>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A653E3"/>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1E6A63"/>
    <w:rsid w:val="51262417"/>
    <w:rsid w:val="513E0BA1"/>
    <w:rsid w:val="514846E2"/>
    <w:rsid w:val="514F438E"/>
    <w:rsid w:val="515060CC"/>
    <w:rsid w:val="51564AF1"/>
    <w:rsid w:val="516D6944"/>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C46ED4"/>
    <w:rsid w:val="60D23648"/>
    <w:rsid w:val="60D25A15"/>
    <w:rsid w:val="60F84A17"/>
    <w:rsid w:val="61052E80"/>
    <w:rsid w:val="612753A8"/>
    <w:rsid w:val="61347170"/>
    <w:rsid w:val="61612908"/>
    <w:rsid w:val="61733257"/>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BC1D8A"/>
    <w:rsid w:val="64DA205C"/>
    <w:rsid w:val="64E36D63"/>
    <w:rsid w:val="65160107"/>
    <w:rsid w:val="65531F1D"/>
    <w:rsid w:val="65537B61"/>
    <w:rsid w:val="657151FB"/>
    <w:rsid w:val="65735D84"/>
    <w:rsid w:val="65CA5EB8"/>
    <w:rsid w:val="65E07179"/>
    <w:rsid w:val="66092177"/>
    <w:rsid w:val="661A50B7"/>
    <w:rsid w:val="66410FA7"/>
    <w:rsid w:val="66444926"/>
    <w:rsid w:val="664F1FDF"/>
    <w:rsid w:val="666C6880"/>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8C64AB"/>
    <w:rsid w:val="6A901D00"/>
    <w:rsid w:val="6AA00E50"/>
    <w:rsid w:val="6AB9288E"/>
    <w:rsid w:val="6ABA4B0F"/>
    <w:rsid w:val="6B2B2B84"/>
    <w:rsid w:val="6B6E1D88"/>
    <w:rsid w:val="6B963D85"/>
    <w:rsid w:val="6C050995"/>
    <w:rsid w:val="6C736A36"/>
    <w:rsid w:val="6C75640B"/>
    <w:rsid w:val="6C7A3290"/>
    <w:rsid w:val="6C7B2A22"/>
    <w:rsid w:val="6CDD11CD"/>
    <w:rsid w:val="6CE05267"/>
    <w:rsid w:val="6CE3136F"/>
    <w:rsid w:val="6CE40271"/>
    <w:rsid w:val="6CEA21C3"/>
    <w:rsid w:val="6D556F64"/>
    <w:rsid w:val="6D705117"/>
    <w:rsid w:val="6D9F74C0"/>
    <w:rsid w:val="6DA22A9E"/>
    <w:rsid w:val="6DCE1D1E"/>
    <w:rsid w:val="6DE33D6B"/>
    <w:rsid w:val="6E0726D2"/>
    <w:rsid w:val="6E1C070D"/>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F6E6D"/>
    <w:rsid w:val="70C66482"/>
    <w:rsid w:val="70C94A80"/>
    <w:rsid w:val="70D0706A"/>
    <w:rsid w:val="70F92DD2"/>
    <w:rsid w:val="7123259E"/>
    <w:rsid w:val="713A5025"/>
    <w:rsid w:val="71680B0F"/>
    <w:rsid w:val="71854B70"/>
    <w:rsid w:val="71B763EC"/>
    <w:rsid w:val="71EF104F"/>
    <w:rsid w:val="71F95237"/>
    <w:rsid w:val="722D514D"/>
    <w:rsid w:val="725337DC"/>
    <w:rsid w:val="7258197D"/>
    <w:rsid w:val="725D51C5"/>
    <w:rsid w:val="725E3D3D"/>
    <w:rsid w:val="725F4D5A"/>
    <w:rsid w:val="72C55CA1"/>
    <w:rsid w:val="72CF0E9B"/>
    <w:rsid w:val="72FF072E"/>
    <w:rsid w:val="73045661"/>
    <w:rsid w:val="7307377D"/>
    <w:rsid w:val="733A35E5"/>
    <w:rsid w:val="7353025C"/>
    <w:rsid w:val="73557AEB"/>
    <w:rsid w:val="737F302F"/>
    <w:rsid w:val="73833EA2"/>
    <w:rsid w:val="73924D5F"/>
    <w:rsid w:val="739F6EDB"/>
    <w:rsid w:val="73F522EE"/>
    <w:rsid w:val="74271298"/>
    <w:rsid w:val="74766500"/>
    <w:rsid w:val="748962D3"/>
    <w:rsid w:val="74B84E55"/>
    <w:rsid w:val="74C817E9"/>
    <w:rsid w:val="74D13C2A"/>
    <w:rsid w:val="7506617D"/>
    <w:rsid w:val="75322E1E"/>
    <w:rsid w:val="75BF0392"/>
    <w:rsid w:val="75F25DC7"/>
    <w:rsid w:val="75FA5640"/>
    <w:rsid w:val="75FD2911"/>
    <w:rsid w:val="761F46F4"/>
    <w:rsid w:val="764C4219"/>
    <w:rsid w:val="764E771F"/>
    <w:rsid w:val="767852D8"/>
    <w:rsid w:val="76935F53"/>
    <w:rsid w:val="76953FE4"/>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AF1C6D"/>
    <w:rsid w:val="79CA7B2C"/>
    <w:rsid w:val="79CC6A81"/>
    <w:rsid w:val="79E64949"/>
    <w:rsid w:val="7A2F1CB5"/>
    <w:rsid w:val="7AA179F0"/>
    <w:rsid w:val="7AA65250"/>
    <w:rsid w:val="7AA8278C"/>
    <w:rsid w:val="7AB87518"/>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CD6006E"/>
    <w:rsid w:val="7D146DE8"/>
    <w:rsid w:val="7D2E1A4A"/>
    <w:rsid w:val="7D846C0E"/>
    <w:rsid w:val="7D963331"/>
    <w:rsid w:val="7D9C49E0"/>
    <w:rsid w:val="7D9C539A"/>
    <w:rsid w:val="7DB07306"/>
    <w:rsid w:val="7DB55021"/>
    <w:rsid w:val="7DDD367E"/>
    <w:rsid w:val="7E1259A1"/>
    <w:rsid w:val="7E237C4A"/>
    <w:rsid w:val="7E334C61"/>
    <w:rsid w:val="7E4328CE"/>
    <w:rsid w:val="7E784305"/>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25468</Words>
  <Characters>26333</Characters>
  <Lines>82</Lines>
  <Paragraphs>23</Paragraphs>
  <TotalTime>26</TotalTime>
  <ScaleCrop>false</ScaleCrop>
  <LinksUpToDate>false</LinksUpToDate>
  <CharactersWithSpaces>27494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2022-06-17T09:16:00Z</cp:lastPrinted>
  <dcterms:modified xsi:type="dcterms:W3CDTF">2022-06-21T01:16:46Z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293D556150EE408CB6166E28E9EB5FB7</vt:lpwstr>
  </property>
</Properties>
</file>