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449509649"/>
      <w:bookmarkStart w:id="2" w:name="_Toc246996903"/>
      <w:bookmarkStart w:id="3" w:name="_Toc144974482"/>
      <w:bookmarkStart w:id="4" w:name="_Toc152045514"/>
      <w:bookmarkStart w:id="5" w:name="_Toc152042290"/>
      <w:bookmarkStart w:id="6" w:name="_Toc179632530"/>
      <w:bookmarkStart w:id="7" w:name="_Toc246996160"/>
      <w:r>
        <w:rPr>
          <w:rFonts w:hint="eastAsia" w:ascii="方正小标宋简体" w:hAnsi="方正小标宋简体" w:eastAsia="方正小标宋简体" w:cs="方正小标宋简体"/>
          <w:b w:val="0"/>
          <w:bCs w:val="0"/>
          <w:kern w:val="2"/>
          <w:sz w:val="44"/>
          <w:szCs w:val="44"/>
          <w:highlight w:val="none"/>
          <w:u w:val="single"/>
          <w:lang w:val="en-US" w:eastAsia="zh-CN" w:bidi="ar-SA"/>
        </w:rPr>
        <w:t xml:space="preserve"> </w:t>
      </w:r>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南浔直播电商产业基地项目工程总承包——塔式起重机</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2024-N-011-下03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2024年5月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南浔直播电商产业基地项目工程总承包——塔式起重机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湖州南浔城投绿色智创园有限公司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暂估443日历天，具体以招标人指令为准</w:t>
                </w:r>
              </w:sdtContent>
            </w:sdt>
            <w:r>
              <w:rPr>
                <w:rFonts w:hint="eastAsia" w:ascii="仿宋_GB2312" w:hAnsi="仿宋_GB2312" w:eastAsia="仿宋_GB2312" w:cs="仿宋_GB2312"/>
                <w:sz w:val="28"/>
                <w:szCs w:val="28"/>
                <w:highlight w:val="yellow"/>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20600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湖州市南浔区和孚镇南浔直播电商产业基地项目工程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塔吊租赁（详见报价清单） 等工程，塔吊经安监局等验收合格，直至塔吊具备使用条件，最终以招标人及业主单位要求为准。</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 </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none"/>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kern w:val="0"/>
                    <w:sz w:val="28"/>
                    <w:szCs w:val="28"/>
                    <w:highlight w:val="none"/>
                    <w:lang w:val="en-US" w:eastAsia="zh-CN" w:bidi="ar-SA"/>
                  </w:rPr>
                  <w:t>塔吊租赁费用每季度凭双方确认的结算单按实际发生的数量统一支付，人员工资由农民工专户一个月一付，其中以招标人确认的司机考勤记录为结算依据。</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塔吊安装验收具备使用之日起计算，</w:t>
            </w:r>
            <w:r>
              <w:rPr>
                <w:rFonts w:hint="eastAsia" w:ascii="仿宋_GB2312" w:hAnsi="仿宋_GB2312" w:eastAsia="仿宋_GB2312" w:cs="仿宋_GB2312"/>
                <w:sz w:val="28"/>
                <w:szCs w:val="28"/>
                <w:highlight w:val="none"/>
              </w:rPr>
              <w:t>采用固定综合单价计价方式，结算时按</w:t>
            </w:r>
            <w:r>
              <w:rPr>
                <w:rFonts w:hint="eastAsia" w:ascii="仿宋_GB2312" w:hAnsi="仿宋_GB2312" w:eastAsia="仿宋_GB2312" w:cs="仿宋_GB2312"/>
                <w:sz w:val="28"/>
                <w:szCs w:val="28"/>
                <w:highlight w:val="none"/>
                <w:lang w:val="en-US" w:eastAsia="zh-CN"/>
              </w:rPr>
              <w:t>各内容的</w:t>
            </w:r>
            <w:r>
              <w:rPr>
                <w:rFonts w:hint="eastAsia" w:ascii="仿宋_GB2312" w:hAnsi="仿宋_GB2312" w:eastAsia="仿宋_GB2312" w:cs="仿宋_GB2312"/>
                <w:sz w:val="28"/>
                <w:szCs w:val="28"/>
                <w:highlight w:val="none"/>
              </w:rPr>
              <w:t>合同固定综合单价×实际</w:t>
            </w:r>
            <w:r>
              <w:rPr>
                <w:rFonts w:hint="eastAsia" w:ascii="仿宋_GB2312" w:hAnsi="仿宋_GB2312" w:eastAsia="仿宋_GB2312" w:cs="仿宋_GB2312"/>
                <w:sz w:val="28"/>
                <w:szCs w:val="28"/>
                <w:highlight w:val="none"/>
                <w:lang w:val="en-US" w:eastAsia="zh-CN"/>
              </w:rPr>
              <w:t>月数，以双方确认的实际施工时间和内容为依据，不足一个月的按天数进行结算（如塔吊租费中标的单价为10000元/台/月，数量为1台，实际施工月份为7月，施工天数为26天，则结算价=10000/31*26*1=8387元）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default" w:ascii="仿宋_GB2312" w:hAnsi="仿宋_GB2312" w:eastAsia="仿宋_GB2312" w:cs="仿宋_GB2312"/>
                <w:color w:val="auto"/>
                <w:sz w:val="28"/>
                <w:szCs w:val="28"/>
                <w:highlight w:val="none"/>
                <w:lang w:eastAsia="zh-CN"/>
              </w:rPr>
              <w:t>、如招标人与业主单位发生争议的，招标人据此产生的诉讼费、律师费、财产保全需要购买保单的保险费等均由投标人承担，并直接从应支付给投标人的款项中扣除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w:t>
            </w:r>
            <w:r>
              <w:rPr>
                <w:rFonts w:hint="eastAsia" w:ascii="仿宋_GB2312" w:hAnsi="仿宋_GB2312" w:eastAsia="仿宋_GB2312" w:cs="仿宋_GB2312"/>
                <w:sz w:val="28"/>
                <w:szCs w:val="28"/>
                <w:highlight w:val="none"/>
              </w:rPr>
              <w:t>未进入招标人班组库的单位，</w:t>
            </w:r>
            <w:r>
              <w:rPr>
                <w:rFonts w:hint="eastAsia" w:ascii="仿宋_GB2312" w:hAnsi="仿宋_GB2312" w:eastAsia="仿宋_GB2312" w:cs="仿宋_GB2312"/>
                <w:sz w:val="28"/>
                <w:szCs w:val="28"/>
                <w:highlight w:val="none"/>
                <w:u w:val="single"/>
              </w:rPr>
              <w:t xml:space="preserve"> </w:t>
            </w:r>
            <w:r>
              <w:rPr>
                <w:rFonts w:hint="eastAsia" w:ascii="仿宋" w:hAnsi="仿宋" w:eastAsia="仿宋" w:cs="仿宋"/>
                <w:sz w:val="28"/>
                <w:szCs w:val="28"/>
                <w:u w:val="single"/>
              </w:rPr>
              <w:t>营业执照内容必须反映出机械设备租赁</w:t>
            </w:r>
            <w:r>
              <w:rPr>
                <w:rFonts w:hint="eastAsia" w:ascii="仿宋_GB2312" w:hAnsi="仿宋_GB2312" w:eastAsia="仿宋_GB2312" w:cs="仿宋_GB2312"/>
                <w:sz w:val="28"/>
                <w:szCs w:val="28"/>
                <w:highlight w:val="none"/>
                <w:u w:val="single"/>
                <w:lang w:val="en-US" w:eastAsia="zh-CN"/>
              </w:rPr>
              <w:t>且具备起重设备安装工程专业承包叁</w:t>
            </w:r>
            <w:r>
              <w:rPr>
                <w:rFonts w:hint="eastAsia" w:ascii="仿宋_GB2312" w:hAnsi="仿宋_GB2312" w:eastAsia="仿宋_GB2312" w:cs="仿宋_GB2312"/>
                <w:sz w:val="28"/>
                <w:szCs w:val="28"/>
                <w:highlight w:val="none"/>
                <w:u w:val="single"/>
              </w:rPr>
              <w:t xml:space="preserve">级及以上资质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招标控制价为</w:t>
            </w:r>
            <w:r>
              <w:rPr>
                <w:rFonts w:hint="eastAsia" w:ascii="仿宋_GB2312" w:hAnsi="仿宋_GB2312" w:eastAsia="仿宋_GB2312" w:cs="仿宋_GB2312"/>
                <w:color w:val="000000"/>
                <w:sz w:val="28"/>
                <w:szCs w:val="28"/>
                <w:highlight w:val="yellow"/>
                <w:u w:val="single"/>
                <w:lang w:val="en-US" w:eastAsia="zh-CN"/>
              </w:rPr>
              <w:t xml:space="preserve"> 20600元 </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b/>
                <w:bCs/>
                <w:color w:val="000000"/>
                <w:sz w:val="28"/>
                <w:szCs w:val="28"/>
                <w:highlight w:val="none"/>
              </w:rPr>
              <w:t>投标报价不得高于招标控制价总价及单价</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详见报价清单</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rPr>
              <w:t>，否则作为废标处理</w:t>
            </w:r>
            <w:r>
              <w:rPr>
                <w:rFonts w:hint="eastAsia" w:ascii="仿宋_GB2312" w:hAnsi="仿宋_GB2312" w:eastAsia="仿宋_GB2312" w:cs="仿宋_GB2312"/>
                <w:color w:val="000000"/>
                <w:sz w:val="28"/>
                <w:szCs w:val="28"/>
                <w:highlight w:val="none"/>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27</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3、印有塔吊生产日期的合格证书复印件（要求生产日期为近5年内）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、资质证书复印件、安全生产许可证复印件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2"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28"/>
          <w:szCs w:val="28"/>
          <w:highlight w:val="none"/>
          <w:lang w:eastAsia="zh-CN" w:bidi="ar"/>
        </w:rPr>
      </w:pPr>
      <w:r>
        <w:rPr>
          <w:rFonts w:hint="eastAsia" w:ascii="仿宋_GB2312" w:eastAsia="仿宋_GB2312" w:cs="仿宋_GB2312"/>
          <w:sz w:val="28"/>
          <w:szCs w:val="28"/>
          <w:highlight w:val="none"/>
          <w:lang w:bidi="ar"/>
        </w:rPr>
        <w:t>有效报价：投标单位的投标</w:t>
      </w:r>
      <w:r>
        <w:rPr>
          <w:rFonts w:hint="eastAsia" w:ascii="仿宋_GB2312" w:eastAsia="仿宋_GB2312" w:cs="仿宋_GB2312"/>
          <w:sz w:val="28"/>
          <w:szCs w:val="28"/>
          <w:highlight w:val="none"/>
          <w:lang w:val="en-US" w:eastAsia="zh-CN" w:bidi="ar"/>
        </w:rPr>
        <w:t>报价高于</w:t>
      </w:r>
      <w:r>
        <w:rPr>
          <w:rFonts w:hint="eastAsia" w:ascii="仿宋_GB2312" w:eastAsia="仿宋_GB2312" w:cs="仿宋_GB2312"/>
          <w:sz w:val="28"/>
          <w:szCs w:val="28"/>
          <w:highlight w:val="none"/>
          <w:lang w:bidi="ar"/>
        </w:rPr>
        <w:t>招标控制</w:t>
      </w:r>
      <w:r>
        <w:rPr>
          <w:rFonts w:hint="eastAsia" w:ascii="仿宋_GB2312" w:eastAsia="仿宋_GB2312" w:cs="仿宋_GB2312"/>
          <w:sz w:val="28"/>
          <w:szCs w:val="28"/>
          <w:highlight w:val="none"/>
          <w:lang w:val="en-US" w:eastAsia="zh-CN" w:bidi="ar"/>
        </w:rPr>
        <w:t>总价及单价</w:t>
      </w:r>
      <w:r>
        <w:rPr>
          <w:rFonts w:hint="eastAsia" w:ascii="仿宋_GB2312" w:eastAsia="仿宋_GB2312" w:cs="仿宋_GB2312"/>
          <w:sz w:val="28"/>
          <w:szCs w:val="28"/>
          <w:highlight w:val="none"/>
          <w:lang w:bidi="ar"/>
        </w:rPr>
        <w:t>的，认定为无效投标报价</w:t>
      </w:r>
      <w:r>
        <w:rPr>
          <w:rFonts w:hint="eastAsia" w:ascii="仿宋_GB2312" w:eastAsia="仿宋_GB2312" w:cs="仿宋_GB2312"/>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采用</w:t>
      </w:r>
      <w:r>
        <w:rPr>
          <w:rFonts w:hint="eastAsia" w:ascii="仿宋_GB2312" w:hAnsi="仿宋" w:eastAsia="仿宋_GB2312"/>
          <w:sz w:val="28"/>
          <w:szCs w:val="28"/>
          <w:lang w:val="en-US" w:eastAsia="zh-CN"/>
        </w:rPr>
        <w:t>纯商务最低价</w:t>
      </w:r>
      <w:r>
        <w:rPr>
          <w:rFonts w:hint="eastAsia" w:ascii="仿宋_GB2312" w:hAnsi="仿宋_GB2312" w:eastAsia="仿宋_GB2312" w:cs="仿宋_GB2312"/>
          <w:sz w:val="28"/>
          <w:szCs w:val="28"/>
          <w:lang w:bidi="ar"/>
        </w:rPr>
        <w:t>的，商务标得分为100分。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val="en-US" w:eastAsia="zh-CN" w:bidi="ar"/>
        </w:rPr>
        <w:t>1</w:t>
      </w: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bidi="ar"/>
        </w:rPr>
        <w:t>最佳报价：以所有有效投标报价的高低作得分排名，有效投标报价的最低报价排名为第一名，其余有效投标报价按从低到高依次排名；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val="en-US" w:eastAsia="zh-CN" w:bidi="ar"/>
        </w:rPr>
        <w:t>2</w:t>
      </w: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bidi="ar"/>
        </w:rPr>
        <w:t>结合班组信用评价结果确定最终中标班组，如第一名班组</w:t>
      </w:r>
      <w:r>
        <w:rPr>
          <w:rFonts w:hint="eastAsia" w:ascii="仿宋_GB2312" w:hAnsi="仿宋_GB2312" w:eastAsia="仿宋_GB2312" w:cs="仿宋_GB2312"/>
          <w:sz w:val="28"/>
          <w:szCs w:val="28"/>
          <w:highlight w:val="none"/>
          <w:lang w:bidi="ar"/>
        </w:rPr>
        <w:t>信用评价为C级的</w:t>
      </w:r>
      <w:r>
        <w:rPr>
          <w:rFonts w:hint="default" w:ascii="仿宋_GB2312" w:hAnsi="仿宋_GB2312" w:eastAsia="仿宋_GB2312" w:cs="仿宋_GB2312"/>
          <w:sz w:val="28"/>
          <w:szCs w:val="28"/>
          <w:lang w:eastAsia="zh-CN" w:bidi="ar"/>
        </w:rPr>
        <w:t>降低一个名次（重点项目取消其参与资格）</w:t>
      </w:r>
      <w:r>
        <w:rPr>
          <w:rFonts w:hint="eastAsia" w:ascii="仿宋_GB2312" w:hAnsi="仿宋_GB2312" w:eastAsia="仿宋_GB2312" w:cs="仿宋_GB2312"/>
          <w:sz w:val="28"/>
          <w:szCs w:val="28"/>
          <w:highlight w:val="none"/>
          <w:lang w:bidi="ar"/>
        </w:rPr>
        <w:t>，</w:t>
      </w:r>
      <w:r>
        <w:rPr>
          <w:rFonts w:hint="eastAsia" w:ascii="仿宋_GB2312" w:hAnsi="仿宋_GB2312" w:eastAsia="仿宋_GB2312" w:cs="仿宋_GB2312"/>
          <w:sz w:val="28"/>
          <w:szCs w:val="28"/>
          <w:lang w:val="en-US" w:eastAsia="zh-CN" w:bidi="ar"/>
        </w:rPr>
        <w:t>信用评价为</w:t>
      </w:r>
      <w:r>
        <w:rPr>
          <w:rFonts w:hint="default" w:ascii="仿宋_GB2312" w:hAnsi="仿宋_GB2312" w:eastAsia="仿宋_GB2312" w:cs="仿宋_GB2312"/>
          <w:sz w:val="28"/>
          <w:szCs w:val="28"/>
          <w:lang w:eastAsia="zh-CN" w:bidi="ar"/>
        </w:rPr>
        <w:t>A 级</w:t>
      </w:r>
      <w:r>
        <w:rPr>
          <w:rFonts w:hint="eastAsia" w:ascii="仿宋_GB2312" w:hAnsi="仿宋_GB2312" w:eastAsia="仿宋_GB2312" w:cs="仿宋_GB2312"/>
          <w:sz w:val="28"/>
          <w:szCs w:val="28"/>
          <w:lang w:val="en-US" w:eastAsia="zh-CN" w:bidi="ar"/>
        </w:rPr>
        <w:t>的</w:t>
      </w:r>
      <w:r>
        <w:rPr>
          <w:rFonts w:hint="default" w:ascii="仿宋_GB2312" w:hAnsi="仿宋_GB2312" w:eastAsia="仿宋_GB2312" w:cs="仿宋_GB2312"/>
          <w:sz w:val="28"/>
          <w:szCs w:val="28"/>
          <w:lang w:eastAsia="zh-CN" w:bidi="ar"/>
        </w:rPr>
        <w:t>提升一个名次</w:t>
      </w:r>
      <w:r>
        <w:rPr>
          <w:rFonts w:hint="eastAsia" w:ascii="仿宋_GB2312" w:hAnsi="仿宋_GB2312" w:eastAsia="仿宋_GB2312" w:cs="仿宋_GB2312"/>
          <w:sz w:val="28"/>
          <w:szCs w:val="28"/>
          <w:highlight w:val="none"/>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b/>
          <w:bCs/>
          <w:sz w:val="28"/>
          <w:szCs w:val="28"/>
          <w:highlight w:val="none"/>
          <w:lang w:val="en-US" w:eastAsia="zh-CN" w:bidi="ar"/>
        </w:rPr>
      </w:pPr>
      <w:r>
        <w:rPr>
          <w:rFonts w:hint="eastAsia" w:ascii="仿宋_GB2312" w:hAnsi="仿宋_GB2312" w:eastAsia="仿宋_GB2312" w:cs="仿宋_GB2312"/>
          <w:sz w:val="28"/>
          <w:szCs w:val="28"/>
          <w:highlight w:val="none"/>
          <w:lang w:eastAsia="zh-CN" w:bidi="ar"/>
        </w:rPr>
        <w:t>（</w:t>
      </w:r>
      <w:r>
        <w:rPr>
          <w:rFonts w:hint="eastAsia" w:ascii="仿宋_GB2312" w:hAnsi="仿宋_GB2312" w:eastAsia="仿宋_GB2312" w:cs="仿宋_GB2312"/>
          <w:sz w:val="28"/>
          <w:szCs w:val="28"/>
          <w:highlight w:val="none"/>
          <w:lang w:val="en-US" w:eastAsia="zh-CN" w:bidi="ar"/>
        </w:rPr>
        <w:t>3</w:t>
      </w:r>
      <w:r>
        <w:rPr>
          <w:rFonts w:hint="eastAsia" w:ascii="仿宋_GB2312" w:hAnsi="仿宋_GB2312" w:eastAsia="仿宋_GB2312" w:cs="仿宋_GB2312"/>
          <w:sz w:val="28"/>
          <w:szCs w:val="28"/>
          <w:highlight w:val="none"/>
          <w:lang w:eastAsia="zh-CN" w:bidi="ar"/>
        </w:rPr>
        <w:t>）</w:t>
      </w:r>
      <w:r>
        <w:rPr>
          <w:rFonts w:hint="eastAsia" w:ascii="仿宋_GB2312" w:hAnsi="仿宋_GB2312" w:eastAsia="仿宋_GB2312" w:cs="仿宋_GB2312"/>
          <w:sz w:val="28"/>
          <w:szCs w:val="28"/>
          <w:highlight w:val="none"/>
          <w:lang w:bidi="ar"/>
        </w:rPr>
        <w:t>如出现投标报价相同者，采用随机抽签或报公司领导联合</w:t>
      </w:r>
      <w:r>
        <w:rPr>
          <w:rFonts w:ascii="仿宋_GB2312" w:hAnsi="仿宋_GB2312" w:eastAsia="仿宋_GB2312" w:cs="仿宋_GB2312"/>
          <w:sz w:val="28"/>
          <w:szCs w:val="28"/>
          <w:highlight w:val="none"/>
          <w:lang w:bidi="ar"/>
        </w:rPr>
        <w:t>商议</w:t>
      </w:r>
      <w:r>
        <w:rPr>
          <w:rFonts w:hint="eastAsia" w:ascii="仿宋_GB2312" w:hAnsi="仿宋_GB2312" w:eastAsia="仿宋_GB2312" w:cs="仿宋_GB2312"/>
          <w:sz w:val="28"/>
          <w:szCs w:val="28"/>
          <w:highlight w:val="none"/>
          <w:lang w:bidi="ar"/>
        </w:rPr>
        <w:t>后确定中标人</w:t>
      </w:r>
      <w:r>
        <w:rPr>
          <w:rFonts w:hint="eastAsia" w:ascii="仿宋_GB2312" w:hAnsi="仿宋_GB2312" w:eastAsia="仿宋_GB2312" w:cs="仿宋_GB2312"/>
          <w:sz w:val="28"/>
          <w:szCs w:val="28"/>
          <w:highlight w:val="none"/>
          <w:lang w:eastAsia="zh-CN" w:bidi="ar"/>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附件1：《机械租赁合同》</w:t>
      </w:r>
    </w:p>
    <w:p>
      <w:pPr>
        <w:pStyle w:val="12"/>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附件2：机械报价清单</w:t>
      </w:r>
    </w:p>
    <w:p>
      <w:pPr>
        <w:pStyle w:val="12"/>
        <w:keepNext w:val="0"/>
        <w:keepLines w:val="0"/>
        <w:pageBreakBefore w:val="0"/>
        <w:widowControl w:val="0"/>
        <w:kinsoku/>
        <w:wordWrap/>
        <w:overflowPunct/>
        <w:topLinePunct w:val="0"/>
        <w:autoSpaceDE/>
        <w:autoSpaceDN/>
        <w:bidi w:val="0"/>
        <w:adjustRightInd/>
        <w:snapToGrid/>
        <w:spacing w:after="0" w:line="480" w:lineRule="exact"/>
        <w:ind w:left="0" w:leftChars="0" w:firstLine="560" w:firstLineChars="200"/>
        <w:jc w:val="both"/>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lang w:val="en-US" w:eastAsia="zh-CN"/>
        </w:rPr>
        <w:t>元</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eastAsia="zh-CN"/>
        </w:rPr>
        <w:t>，</w:t>
      </w: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6"/>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rPr>
          <w:rFonts w:hint="default" w:ascii="方正小标宋简体" w:hAnsi="方正小标宋简体" w:eastAsia="方正小标宋简体" w:cs="方正小标宋简体"/>
          <w:b w:val="0"/>
          <w:bCs w:val="0"/>
          <w:color w:val="auto"/>
          <w:kern w:val="0"/>
          <w:sz w:val="28"/>
          <w:szCs w:val="28"/>
          <w:lang w:val="en-US" w:eastAsia="zh-CN" w:bidi="ar-SA"/>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p>
    <w:p>
      <w:pPr>
        <w:jc w:val="center"/>
        <w:rPr>
          <w:rFonts w:hint="default" w:ascii="方正小标宋简体" w:hAnsi="方正小标宋简体" w:eastAsia="方正小标宋简体" w:cs="方正小标宋简体"/>
          <w:b w:val="0"/>
          <w:bCs w:val="0"/>
          <w:color w:val="auto"/>
          <w:kern w:val="0"/>
          <w:sz w:val="32"/>
          <w:szCs w:val="32"/>
          <w:lang w:val="en-US" w:eastAsia="zh-CN" w:bidi="ar-SA"/>
        </w:rPr>
      </w:pPr>
      <w:r>
        <w:rPr>
          <w:rFonts w:hint="eastAsia" w:ascii="方正小标宋简体" w:hAnsi="方正小标宋简体" w:eastAsia="方正小标宋简体" w:cs="方正小标宋简体"/>
          <w:b w:val="0"/>
          <w:bCs w:val="0"/>
          <w:color w:val="auto"/>
          <w:kern w:val="0"/>
          <w:sz w:val="32"/>
          <w:szCs w:val="32"/>
          <w:lang w:val="en-US" w:eastAsia="zh-CN" w:bidi="ar-SA"/>
        </w:rPr>
        <w:t>报价清单</w:t>
      </w:r>
    </w:p>
    <w:p>
      <w:pPr>
        <w:pStyle w:val="6"/>
        <w:spacing w:line="460" w:lineRule="exact"/>
        <w:ind w:left="0" w:leftChars="0" w:firstLine="0" w:firstLineChars="0"/>
        <w:rPr>
          <w:rFonts w:hint="eastAsia" w:ascii="仿宋_GB2312" w:hAnsi="仿宋_GB2312" w:eastAsia="仿宋_GB2312" w:cs="仿宋_GB2312"/>
          <w:sz w:val="28"/>
          <w:szCs w:val="28"/>
          <w:highlight w:val="none"/>
          <w:lang w:val="en-US" w:eastAsia="zh-CN"/>
        </w:rPr>
        <w:sectPr>
          <w:footerReference r:id="rId3" w:type="default"/>
          <w:pgSz w:w="11906" w:h="16838"/>
          <w:pgMar w:top="1440" w:right="1264" w:bottom="1440" w:left="1179" w:header="851" w:footer="992" w:gutter="0"/>
          <w:pgNumType w:fmt="decimalFullWidth"/>
          <w:cols w:space="720" w:num="1"/>
          <w:docGrid w:type="lines" w:linePitch="315" w:charSpace="0"/>
        </w:sectPr>
      </w:pPr>
      <w:r>
        <w:rPr>
          <w:rFonts w:hint="eastAsia" w:ascii="仿宋_GB2312" w:hAnsi="仿宋_GB2312" w:eastAsia="仿宋_GB2312" w:cs="仿宋_GB2312"/>
          <w:sz w:val="28"/>
          <w:szCs w:val="28"/>
          <w:highlight w:val="none"/>
        </w:rPr>
        <w:t>详见附件</w:t>
      </w:r>
    </w:p>
    <w:p>
      <w:pPr>
        <w:jc w:val="center"/>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6"/>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4" w:type="default"/>
          <w:pgSz w:w="11906" w:h="16838"/>
          <w:pgMar w:top="2098" w:right="1474" w:bottom="1440" w:left="1587" w:header="851" w:footer="992" w:gutter="0"/>
          <w:pgNumType w:fmt="decimalFullWidt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decimalFullWidt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decimalFullWidt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pStyle w:val="6"/>
        <w:spacing w:after="0" w:afterLines="0" w:line="240" w:lineRule="auto"/>
        <w:ind w:firstLine="0" w:firstLineChars="0"/>
        <w:rPr>
          <w:rFonts w:hint="default"/>
          <w:sz w:val="28"/>
          <w:szCs w:val="28"/>
          <w:lang w:val="en-US" w:eastAsia="zh-CN"/>
        </w:rPr>
      </w:pPr>
      <w:r>
        <w:rPr>
          <w:rFonts w:hint="eastAsia"/>
          <w:sz w:val="28"/>
          <w:szCs w:val="28"/>
          <w:lang w:val="en-US" w:eastAsia="zh-CN"/>
        </w:rPr>
        <w:t>附件1：</w:t>
      </w:r>
    </w:p>
    <w:p>
      <w:pPr>
        <w:spacing w:line="240" w:lineRule="auto"/>
        <w:ind w:firstLine="0" w:firstLineChars="0"/>
        <w:jc w:val="center"/>
        <w:rPr>
          <w:rFonts w:hint="eastAsia" w:ascii="仿宋" w:hAnsi="仿宋" w:eastAsia="仿宋" w:cs="仿宋"/>
          <w:color w:val="000000"/>
          <w:sz w:val="32"/>
          <w:szCs w:val="32"/>
        </w:rPr>
      </w:pPr>
      <w:r>
        <w:rPr>
          <w:rFonts w:hint="eastAsia" w:ascii="仿宋" w:hAnsi="仿宋" w:eastAsia="仿宋" w:cs="仿宋"/>
          <w:b/>
          <w:color w:val="000000"/>
          <w:sz w:val="32"/>
          <w:szCs w:val="32"/>
        </w:rPr>
        <w:t>机械租赁合同</w:t>
      </w:r>
    </w:p>
    <w:p>
      <w:pPr>
        <w:spacing w:line="320" w:lineRule="exact"/>
        <w:jc w:val="center"/>
        <w:rPr>
          <w:rFonts w:hint="eastAsia" w:ascii="仿宋" w:hAnsi="仿宋" w:eastAsia="仿宋" w:cs="仿宋"/>
          <w:color w:val="000000"/>
          <w:sz w:val="28"/>
          <w:szCs w:val="28"/>
        </w:rPr>
      </w:pPr>
    </w:p>
    <w:p>
      <w:pPr>
        <w:spacing w:line="440" w:lineRule="exact"/>
        <w:ind w:left="1"/>
        <w:jc w:val="left"/>
        <w:rPr>
          <w:rFonts w:hint="eastAsia" w:ascii="仿宋" w:hAnsi="仿宋" w:eastAsia="仿宋" w:cs="仿宋"/>
          <w:color w:val="000000"/>
          <w:sz w:val="28"/>
          <w:szCs w:val="28"/>
        </w:rPr>
      </w:pPr>
      <w:r>
        <w:rPr>
          <w:rFonts w:hint="eastAsia" w:ascii="仿宋" w:hAnsi="仿宋" w:eastAsia="仿宋" w:cs="仿宋"/>
          <w:color w:val="000000"/>
          <w:sz w:val="28"/>
          <w:szCs w:val="28"/>
        </w:rPr>
        <w:t>甲方：</w:t>
      </w:r>
      <w:r>
        <w:rPr>
          <w:rFonts w:hint="eastAsia" w:ascii="仿宋" w:hAnsi="仿宋" w:eastAsia="仿宋" w:cs="仿宋"/>
          <w:bCs/>
          <w:color w:val="000000"/>
          <w:sz w:val="28"/>
          <w:szCs w:val="28"/>
          <w:u w:val="single"/>
        </w:rPr>
        <w:t>湖州南浔城投</w:t>
      </w:r>
      <w:r>
        <w:rPr>
          <w:rFonts w:hint="eastAsia" w:ascii="仿宋" w:hAnsi="仿宋" w:eastAsia="仿宋" w:cs="仿宋"/>
          <w:bCs/>
          <w:color w:val="000000"/>
          <w:sz w:val="28"/>
          <w:szCs w:val="28"/>
          <w:u w:val="single"/>
          <w:lang w:val="en-US" w:eastAsia="zh-CN"/>
        </w:rPr>
        <w:t>城市建设集团有限公司</w:t>
      </w:r>
      <w:r>
        <w:rPr>
          <w:rFonts w:hint="eastAsia" w:ascii="仿宋" w:hAnsi="仿宋" w:eastAsia="仿宋" w:cs="仿宋"/>
          <w:color w:val="000000"/>
          <w:sz w:val="28"/>
          <w:szCs w:val="28"/>
        </w:rPr>
        <w:t>（承租方）　　</w:t>
      </w:r>
    </w:p>
    <w:p>
      <w:pPr>
        <w:spacing w:line="440" w:lineRule="exact"/>
        <w:ind w:left="1"/>
        <w:jc w:val="left"/>
        <w:rPr>
          <w:rFonts w:hint="eastAsia" w:ascii="仿宋" w:hAnsi="仿宋" w:eastAsia="仿宋" w:cs="仿宋"/>
          <w:color w:val="000000"/>
          <w:sz w:val="28"/>
          <w:szCs w:val="28"/>
        </w:rPr>
      </w:pPr>
      <w:r>
        <w:rPr>
          <w:rFonts w:hint="eastAsia" w:ascii="仿宋" w:hAnsi="仿宋" w:eastAsia="仿宋" w:cs="仿宋"/>
          <w:color w:val="000000"/>
          <w:sz w:val="28"/>
          <w:szCs w:val="28"/>
        </w:rPr>
        <w:t>乙方：</w:t>
      </w:r>
      <w:r>
        <w:rPr>
          <w:rFonts w:hint="eastAsia" w:ascii="仿宋" w:hAnsi="仿宋" w:eastAsia="仿宋" w:cs="仿宋"/>
          <w:bCs/>
          <w:color w:val="000000"/>
          <w:sz w:val="28"/>
          <w:szCs w:val="28"/>
          <w:u w:val="single"/>
        </w:rPr>
        <w:t xml:space="preserve">                                 </w:t>
      </w:r>
      <w:r>
        <w:rPr>
          <w:rFonts w:hint="eastAsia" w:ascii="仿宋" w:hAnsi="仿宋" w:eastAsia="仿宋" w:cs="仿宋"/>
          <w:color w:val="000000"/>
          <w:sz w:val="28"/>
          <w:szCs w:val="28"/>
        </w:rPr>
        <w:t>（出租方）</w:t>
      </w:r>
    </w:p>
    <w:p>
      <w:pPr>
        <w:spacing w:line="440" w:lineRule="exact"/>
        <w:ind w:left="1"/>
        <w:jc w:val="left"/>
        <w:rPr>
          <w:rFonts w:hint="eastAsia" w:ascii="仿宋" w:hAnsi="仿宋" w:eastAsia="仿宋" w:cs="仿宋"/>
          <w:color w:val="000000"/>
          <w:sz w:val="28"/>
          <w:szCs w:val="28"/>
        </w:rPr>
      </w:pPr>
      <w:r>
        <w:rPr>
          <w:rFonts w:hint="eastAsia" w:ascii="仿宋" w:hAnsi="仿宋" w:eastAsia="仿宋" w:cs="仿宋"/>
          <w:color w:val="000000"/>
          <w:sz w:val="28"/>
          <w:szCs w:val="28"/>
        </w:rPr>
        <w:t>合同签订地点：</w:t>
      </w:r>
      <w:r>
        <w:rPr>
          <w:rFonts w:hint="eastAsia" w:ascii="仿宋" w:hAnsi="仿宋" w:eastAsia="仿宋" w:cs="仿宋"/>
          <w:color w:val="000000"/>
          <w:sz w:val="28"/>
          <w:szCs w:val="28"/>
          <w:u w:val="single"/>
        </w:rPr>
        <w:t xml:space="preserve">湖州市南浔区 </w:t>
      </w:r>
    </w:p>
    <w:p>
      <w:pPr>
        <w:spacing w:line="440" w:lineRule="exact"/>
        <w:ind w:left="1"/>
        <w:rPr>
          <w:rFonts w:hint="eastAsia" w:ascii="仿宋" w:hAnsi="仿宋" w:eastAsia="仿宋" w:cs="仿宋"/>
          <w:color w:val="000000"/>
          <w:sz w:val="28"/>
          <w:szCs w:val="28"/>
        </w:rPr>
      </w:pPr>
      <w:r>
        <w:rPr>
          <w:rFonts w:hint="eastAsia" w:ascii="仿宋" w:hAnsi="仿宋" w:eastAsia="仿宋" w:cs="仿宋"/>
          <w:color w:val="000000"/>
          <w:sz w:val="28"/>
          <w:szCs w:val="28"/>
        </w:rPr>
        <w:t>依据《中华人民共和国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rPr>
        <w:t>》及我国其他相关法律法规，甲乙双方本着合作、互惠互利的原则友好协商，达成如下协议，并承诺自觉履行相关义务和责任。</w:t>
      </w:r>
    </w:p>
    <w:p>
      <w:pPr>
        <w:spacing w:line="440" w:lineRule="exact"/>
        <w:ind w:left="1"/>
        <w:rPr>
          <w:rFonts w:hint="eastAsia" w:ascii="仿宋" w:hAnsi="仿宋" w:eastAsia="仿宋" w:cs="仿宋"/>
          <w:color w:val="000000"/>
          <w:kern w:val="11"/>
          <w:sz w:val="28"/>
          <w:szCs w:val="28"/>
          <w:u w:val="single"/>
          <w:shd w:val="clear" w:color="auto" w:fill="FFFFFF"/>
        </w:rPr>
      </w:pPr>
      <w:r>
        <w:rPr>
          <w:rFonts w:hint="eastAsia" w:ascii="仿宋" w:hAnsi="仿宋" w:eastAsia="仿宋" w:cs="仿宋"/>
          <w:bCs/>
          <w:sz w:val="28"/>
          <w:szCs w:val="28"/>
        </w:rPr>
        <w:t>项目名称：</w:t>
      </w:r>
      <w:r>
        <w:rPr>
          <w:rStyle w:val="18"/>
          <w:rFonts w:hint="eastAsia" w:ascii="仿宋" w:hAnsi="仿宋" w:eastAsia="仿宋" w:cs="仿宋"/>
          <w:color w:val="000000"/>
          <w:kern w:val="11"/>
          <w:sz w:val="28"/>
          <w:szCs w:val="28"/>
          <w:u w:val="single"/>
        </w:rPr>
        <w:t xml:space="preserve">                                          </w:t>
      </w:r>
    </w:p>
    <w:p>
      <w:pPr>
        <w:pStyle w:val="20"/>
        <w:spacing w:line="440" w:lineRule="exact"/>
        <w:ind w:left="1"/>
        <w:rPr>
          <w:rFonts w:hint="eastAsia"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s="仿宋"/>
          <w:bCs/>
          <w:sz w:val="28"/>
          <w:szCs w:val="28"/>
        </w:rPr>
        <w:t>工程地址：</w:t>
      </w:r>
      <w:r>
        <w:rPr>
          <w:rStyle w:val="18"/>
          <w:rFonts w:hint="eastAsia" w:ascii="仿宋" w:hAnsi="仿宋" w:eastAsia="仿宋" w:cs="仿宋"/>
          <w:color w:val="000000"/>
          <w:kern w:val="11"/>
          <w:sz w:val="28"/>
          <w:szCs w:val="28"/>
          <w:u w:val="single"/>
        </w:rPr>
        <w:t xml:space="preserve">                                          </w:t>
      </w:r>
    </w:p>
    <w:p>
      <w:pPr>
        <w:pStyle w:val="21"/>
        <w:spacing w:line="440" w:lineRule="exact"/>
        <w:ind w:left="421"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机械名称、规格、数量、价款、税率、计划使用时间等条款</w:t>
      </w:r>
    </w:p>
    <w:tbl>
      <w:tblPr>
        <w:tblStyle w:val="13"/>
        <w:tblW w:w="10335"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1766"/>
        <w:gridCol w:w="1410"/>
        <w:gridCol w:w="990"/>
        <w:gridCol w:w="1335"/>
        <w:gridCol w:w="975"/>
        <w:gridCol w:w="139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9" w:type="dxa"/>
            <w:vAlign w:val="center"/>
          </w:tcPr>
          <w:p>
            <w:pPr>
              <w:tabs>
                <w:tab w:val="left" w:pos="525"/>
              </w:tabs>
              <w:spacing w:line="4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序号</w:t>
            </w:r>
          </w:p>
        </w:tc>
        <w:tc>
          <w:tcPr>
            <w:tcW w:w="1766" w:type="dxa"/>
            <w:vAlign w:val="center"/>
          </w:tcPr>
          <w:p>
            <w:pPr>
              <w:tabs>
                <w:tab w:val="left" w:pos="525"/>
              </w:tabs>
              <w:spacing w:line="4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机械名称</w:t>
            </w:r>
          </w:p>
        </w:tc>
        <w:tc>
          <w:tcPr>
            <w:tcW w:w="1410"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规格</w:t>
            </w:r>
          </w:p>
          <w:p>
            <w:pPr>
              <w:keepNext w:val="0"/>
              <w:keepLines w:val="0"/>
              <w:pageBreakBefore w:val="0"/>
              <w:widowControl w:val="0"/>
              <w:tabs>
                <w:tab w:val="left" w:pos="52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（型号）</w:t>
            </w:r>
          </w:p>
        </w:tc>
        <w:tc>
          <w:tcPr>
            <w:tcW w:w="990" w:type="dxa"/>
            <w:vAlign w:val="center"/>
          </w:tcPr>
          <w:p>
            <w:pPr>
              <w:tabs>
                <w:tab w:val="left" w:pos="525"/>
              </w:tabs>
              <w:spacing w:line="4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单位</w:t>
            </w:r>
          </w:p>
        </w:tc>
        <w:tc>
          <w:tcPr>
            <w:tcW w:w="1335" w:type="dxa"/>
            <w:vAlign w:val="center"/>
          </w:tcPr>
          <w:p>
            <w:pPr>
              <w:keepNext w:val="0"/>
              <w:keepLines w:val="0"/>
              <w:pageBreakBefore w:val="0"/>
              <w:widowControl w:val="0"/>
              <w:tabs>
                <w:tab w:val="left" w:pos="52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数量</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按实结算</w:t>
            </w:r>
            <w:r>
              <w:rPr>
                <w:rFonts w:hint="eastAsia" w:ascii="仿宋" w:hAnsi="仿宋" w:eastAsia="仿宋" w:cs="仿宋"/>
                <w:b/>
                <w:color w:val="000000"/>
                <w:sz w:val="28"/>
                <w:szCs w:val="28"/>
                <w:lang w:eastAsia="zh-CN"/>
              </w:rPr>
              <w:t>）</w:t>
            </w:r>
          </w:p>
        </w:tc>
        <w:tc>
          <w:tcPr>
            <w:tcW w:w="975" w:type="dxa"/>
            <w:vAlign w:val="center"/>
          </w:tcPr>
          <w:p>
            <w:pPr>
              <w:tabs>
                <w:tab w:val="left" w:pos="525"/>
              </w:tabs>
              <w:spacing w:line="4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单价</w:t>
            </w:r>
          </w:p>
        </w:tc>
        <w:tc>
          <w:tcPr>
            <w:tcW w:w="1395" w:type="dxa"/>
            <w:tcBorders>
              <w:right w:val="single" w:color="auto" w:sz="4" w:space="0"/>
            </w:tcBorders>
            <w:vAlign w:val="center"/>
          </w:tcPr>
          <w:p>
            <w:pPr>
              <w:keepNext w:val="0"/>
              <w:keepLines w:val="0"/>
              <w:pageBreakBefore w:val="0"/>
              <w:widowControl w:val="0"/>
              <w:tabs>
                <w:tab w:val="left" w:pos="52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总金额（元）</w:t>
            </w:r>
          </w:p>
        </w:tc>
        <w:tc>
          <w:tcPr>
            <w:tcW w:w="1605" w:type="dxa"/>
            <w:tcBorders>
              <w:left w:val="single" w:color="auto" w:sz="4" w:space="0"/>
            </w:tcBorders>
            <w:vAlign w:val="center"/>
          </w:tcPr>
          <w:p>
            <w:pPr>
              <w:tabs>
                <w:tab w:val="left" w:pos="525"/>
              </w:tabs>
              <w:spacing w:line="4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859"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766"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990" w:type="dxa"/>
            <w:tcBorders>
              <w:top w:val="single" w:color="auto" w:sz="4" w:space="0"/>
              <w:bottom w:val="single" w:color="auto" w:sz="4" w:space="0"/>
            </w:tcBorders>
            <w:vAlign w:val="center"/>
          </w:tcPr>
          <w:p>
            <w:pPr>
              <w:rPr>
                <w:rFonts w:hint="eastAsia" w:ascii="仿宋" w:hAnsi="仿宋" w:eastAsia="仿宋" w:cs="仿宋"/>
                <w:sz w:val="28"/>
                <w:szCs w:val="28"/>
              </w:rPr>
            </w:pPr>
          </w:p>
        </w:tc>
        <w:tc>
          <w:tcPr>
            <w:tcW w:w="1335" w:type="dxa"/>
            <w:tcBorders>
              <w:top w:val="single" w:color="auto" w:sz="4" w:space="0"/>
              <w:bottom w:val="single" w:color="auto" w:sz="4" w:space="0"/>
            </w:tcBorders>
            <w:vAlign w:val="center"/>
          </w:tcPr>
          <w:p>
            <w:pPr>
              <w:rPr>
                <w:rFonts w:hint="eastAsia" w:ascii="仿宋" w:hAnsi="仿宋" w:eastAsia="仿宋" w:cs="仿宋"/>
                <w:color w:val="000000"/>
                <w:sz w:val="28"/>
                <w:szCs w:val="28"/>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859" w:type="dxa"/>
            <w:tcBorders>
              <w:top w:val="single" w:color="auto" w:sz="4" w:space="0"/>
              <w:bottom w:val="single" w:color="auto" w:sz="4" w:space="0"/>
            </w:tcBorders>
            <w:vAlign w:val="center"/>
          </w:tcPr>
          <w:p>
            <w:pPr>
              <w:widowControl/>
              <w:spacing w:line="440" w:lineRule="exact"/>
              <w:textAlignment w:val="center"/>
              <w:rPr>
                <w:rFonts w:hint="eastAsia" w:ascii="仿宋" w:hAnsi="仿宋" w:eastAsia="仿宋" w:cs="仿宋"/>
                <w:color w:val="000000"/>
                <w:sz w:val="28"/>
                <w:szCs w:val="28"/>
              </w:rPr>
            </w:pPr>
          </w:p>
        </w:tc>
        <w:tc>
          <w:tcPr>
            <w:tcW w:w="1766"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990" w:type="dxa"/>
            <w:tcBorders>
              <w:top w:val="single" w:color="auto" w:sz="4" w:space="0"/>
              <w:bottom w:val="single" w:color="auto" w:sz="4" w:space="0"/>
            </w:tcBorders>
            <w:vAlign w:val="center"/>
          </w:tcPr>
          <w:p>
            <w:pPr>
              <w:rPr>
                <w:rFonts w:hint="eastAsia" w:ascii="仿宋" w:hAnsi="仿宋" w:eastAsia="仿宋" w:cs="仿宋"/>
                <w:sz w:val="28"/>
                <w:szCs w:val="28"/>
              </w:rPr>
            </w:pPr>
          </w:p>
        </w:tc>
        <w:tc>
          <w:tcPr>
            <w:tcW w:w="133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859" w:type="dxa"/>
            <w:tcBorders>
              <w:top w:val="single" w:color="auto" w:sz="4" w:space="0"/>
              <w:bottom w:val="single" w:color="auto" w:sz="4" w:space="0"/>
            </w:tcBorders>
            <w:vAlign w:val="center"/>
          </w:tcPr>
          <w:p>
            <w:pPr>
              <w:widowControl/>
              <w:spacing w:line="440" w:lineRule="exact"/>
              <w:textAlignment w:val="center"/>
              <w:rPr>
                <w:rFonts w:hint="eastAsia" w:ascii="仿宋" w:hAnsi="仿宋" w:eastAsia="仿宋" w:cs="仿宋"/>
                <w:color w:val="000000"/>
                <w:sz w:val="28"/>
                <w:szCs w:val="28"/>
              </w:rPr>
            </w:pPr>
          </w:p>
        </w:tc>
        <w:tc>
          <w:tcPr>
            <w:tcW w:w="1766"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990" w:type="dxa"/>
            <w:tcBorders>
              <w:top w:val="single" w:color="auto" w:sz="4" w:space="0"/>
              <w:bottom w:val="single" w:color="auto" w:sz="4" w:space="0"/>
            </w:tcBorders>
            <w:vAlign w:val="center"/>
          </w:tcPr>
          <w:p>
            <w:pPr>
              <w:rPr>
                <w:rFonts w:hint="eastAsia" w:ascii="仿宋" w:hAnsi="仿宋" w:eastAsia="仿宋" w:cs="仿宋"/>
                <w:sz w:val="28"/>
                <w:szCs w:val="28"/>
              </w:rPr>
            </w:pPr>
          </w:p>
        </w:tc>
        <w:tc>
          <w:tcPr>
            <w:tcW w:w="133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859" w:type="dxa"/>
            <w:tcBorders>
              <w:top w:val="single" w:color="auto" w:sz="4" w:space="0"/>
              <w:bottom w:val="single" w:color="auto" w:sz="4" w:space="0"/>
            </w:tcBorders>
            <w:vAlign w:val="center"/>
          </w:tcPr>
          <w:p>
            <w:pPr>
              <w:widowControl/>
              <w:spacing w:line="440" w:lineRule="exact"/>
              <w:textAlignment w:val="center"/>
              <w:rPr>
                <w:rFonts w:hint="eastAsia" w:ascii="仿宋" w:hAnsi="仿宋" w:eastAsia="仿宋" w:cs="仿宋"/>
                <w:color w:val="000000"/>
                <w:sz w:val="28"/>
                <w:szCs w:val="28"/>
              </w:rPr>
            </w:pPr>
          </w:p>
        </w:tc>
        <w:tc>
          <w:tcPr>
            <w:tcW w:w="1766"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990" w:type="dxa"/>
            <w:tcBorders>
              <w:top w:val="single" w:color="auto" w:sz="4" w:space="0"/>
              <w:bottom w:val="single" w:color="auto" w:sz="4" w:space="0"/>
            </w:tcBorders>
            <w:vAlign w:val="center"/>
          </w:tcPr>
          <w:p>
            <w:pPr>
              <w:rPr>
                <w:rFonts w:hint="eastAsia" w:ascii="仿宋" w:hAnsi="仿宋" w:eastAsia="仿宋" w:cs="仿宋"/>
                <w:sz w:val="28"/>
                <w:szCs w:val="28"/>
              </w:rPr>
            </w:pPr>
          </w:p>
        </w:tc>
        <w:tc>
          <w:tcPr>
            <w:tcW w:w="133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859"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766"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1410" w:type="dxa"/>
            <w:tcBorders>
              <w:top w:val="single" w:color="auto" w:sz="4" w:space="0"/>
              <w:bottom w:val="single" w:color="auto" w:sz="4" w:space="0"/>
            </w:tcBorders>
            <w:vAlign w:val="center"/>
          </w:tcPr>
          <w:p>
            <w:pPr>
              <w:widowControl/>
              <w:spacing w:line="440" w:lineRule="exact"/>
              <w:jc w:val="center"/>
              <w:textAlignment w:val="center"/>
              <w:rPr>
                <w:rFonts w:hint="eastAsia" w:ascii="仿宋" w:hAnsi="仿宋" w:eastAsia="仿宋" w:cs="仿宋"/>
                <w:color w:val="000000"/>
                <w:sz w:val="28"/>
                <w:szCs w:val="28"/>
              </w:rPr>
            </w:pPr>
          </w:p>
        </w:tc>
        <w:tc>
          <w:tcPr>
            <w:tcW w:w="990" w:type="dxa"/>
            <w:tcBorders>
              <w:top w:val="single" w:color="auto" w:sz="4" w:space="0"/>
              <w:bottom w:val="single" w:color="auto" w:sz="4" w:space="0"/>
            </w:tcBorders>
            <w:vAlign w:val="center"/>
          </w:tcPr>
          <w:p>
            <w:pPr>
              <w:jc w:val="center"/>
              <w:rPr>
                <w:rFonts w:hint="eastAsia" w:ascii="仿宋" w:hAnsi="仿宋" w:eastAsia="仿宋" w:cs="仿宋"/>
                <w:sz w:val="28"/>
                <w:szCs w:val="28"/>
              </w:rPr>
            </w:pPr>
          </w:p>
        </w:tc>
        <w:tc>
          <w:tcPr>
            <w:tcW w:w="1335" w:type="dxa"/>
            <w:tcBorders>
              <w:top w:val="single" w:color="auto" w:sz="4" w:space="0"/>
              <w:bottom w:val="single" w:color="auto" w:sz="4" w:space="0"/>
            </w:tcBorders>
            <w:vAlign w:val="center"/>
          </w:tcPr>
          <w:p>
            <w:pPr>
              <w:rPr>
                <w:rFonts w:hint="eastAsia" w:ascii="仿宋" w:hAnsi="仿宋" w:eastAsia="仿宋" w:cs="仿宋"/>
                <w:color w:val="000000"/>
                <w:sz w:val="28"/>
                <w:szCs w:val="28"/>
              </w:rPr>
            </w:pPr>
          </w:p>
        </w:tc>
        <w:tc>
          <w:tcPr>
            <w:tcW w:w="975" w:type="dxa"/>
            <w:tcBorders>
              <w:top w:val="single" w:color="auto" w:sz="4" w:space="0"/>
              <w:bottom w:val="single" w:color="auto" w:sz="4" w:space="0"/>
            </w:tcBorders>
            <w:vAlign w:val="center"/>
          </w:tcPr>
          <w:p>
            <w:pPr>
              <w:jc w:val="center"/>
              <w:rPr>
                <w:rFonts w:hint="eastAsia" w:ascii="仿宋" w:hAnsi="仿宋" w:eastAsia="仿宋" w:cs="仿宋"/>
                <w:color w:val="000000"/>
                <w:sz w:val="28"/>
                <w:szCs w:val="28"/>
              </w:rPr>
            </w:pPr>
          </w:p>
        </w:tc>
        <w:tc>
          <w:tcPr>
            <w:tcW w:w="139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p>
        </w:tc>
        <w:tc>
          <w:tcPr>
            <w:tcW w:w="1605" w:type="dxa"/>
            <w:tcBorders>
              <w:top w:val="single" w:color="auto" w:sz="4" w:space="0"/>
              <w:left w:val="single" w:color="auto" w:sz="4" w:space="0"/>
              <w:bottom w:val="single" w:color="auto" w:sz="4" w:space="0"/>
            </w:tcBorders>
            <w:vAlign w:val="center"/>
          </w:tcPr>
          <w:p>
            <w:pPr>
              <w:tabs>
                <w:tab w:val="left" w:pos="525"/>
              </w:tabs>
              <w:spacing w:line="44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8"/>
            <w:vAlign w:val="center"/>
          </w:tcPr>
          <w:p>
            <w:pPr>
              <w:tabs>
                <w:tab w:val="left" w:pos="525"/>
                <w:tab w:val="left" w:pos="9162"/>
              </w:tabs>
              <w:spacing w:line="44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暂定共计人民币（大写）：</w:t>
            </w:r>
            <w:r>
              <w:rPr>
                <w:rFonts w:hint="eastAsia" w:ascii="仿宋" w:hAnsi="仿宋" w:eastAsia="仿宋" w:cs="仿宋"/>
                <w:b/>
                <w:color w:val="000000"/>
                <w:sz w:val="28"/>
                <w:szCs w:val="28"/>
                <w:u w:val="single"/>
              </w:rPr>
              <w:t xml:space="preserve">                     元</w:t>
            </w:r>
            <w:r>
              <w:rPr>
                <w:rFonts w:hint="eastAsia" w:ascii="仿宋" w:hAnsi="仿宋" w:eastAsia="仿宋" w:cs="仿宋"/>
                <w:color w:val="000000"/>
                <w:sz w:val="28"/>
                <w:szCs w:val="28"/>
              </w:rPr>
              <w:t>， ￥：</w:t>
            </w:r>
            <w:r>
              <w:rPr>
                <w:rFonts w:hint="eastAsia" w:ascii="仿宋" w:hAnsi="仿宋" w:eastAsia="仿宋" w:cs="仿宋"/>
                <w:b/>
                <w:color w:val="000000"/>
                <w:sz w:val="28"/>
                <w:szCs w:val="28"/>
                <w:u w:val="single"/>
              </w:rPr>
              <w:t xml:space="preserve">          元</w:t>
            </w:r>
            <w:r>
              <w:rPr>
                <w:rFonts w:hint="eastAsia" w:ascii="仿宋" w:hAnsi="仿宋" w:eastAsia="仿宋" w:cs="仿宋"/>
                <w:color w:val="000000"/>
                <w:sz w:val="28"/>
                <w:szCs w:val="28"/>
              </w:rPr>
              <w:t>，税率：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5" w:type="dxa"/>
            <w:gridSpan w:val="8"/>
            <w:vAlign w:val="center"/>
          </w:tcPr>
          <w:p>
            <w:pPr>
              <w:tabs>
                <w:tab w:val="left" w:pos="525"/>
                <w:tab w:val="left" w:pos="9162"/>
              </w:tabs>
              <w:spacing w:line="440" w:lineRule="exact"/>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以上单价为一次性确定，不作调整并已包含税金，含油费及其他一切费用</w:t>
            </w:r>
            <w:r>
              <w:rPr>
                <w:rFonts w:hint="eastAsia" w:ascii="仿宋" w:hAnsi="仿宋" w:eastAsia="仿宋" w:cs="仿宋"/>
                <w:color w:val="000000"/>
                <w:sz w:val="28"/>
                <w:szCs w:val="28"/>
                <w:lang w:val="en-US" w:eastAsia="zh-CN"/>
              </w:rPr>
              <w:t>。实际使用的机械名称和施工时间按双方确认的结算单或者指令单为准。</w:t>
            </w:r>
          </w:p>
        </w:tc>
      </w:tr>
    </w:tbl>
    <w:p>
      <w:pPr>
        <w:pStyle w:val="21"/>
        <w:numPr>
          <w:ilvl w:val="0"/>
          <w:numId w:val="0"/>
        </w:num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机械进场及要求：</w:t>
      </w:r>
    </w:p>
    <w:p>
      <w:pPr>
        <w:pStyle w:val="21"/>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每次按甲方指定专人提前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24</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小时内以书面、传真、短信、微信等形式通知乙方机械进场。</w:t>
      </w:r>
    </w:p>
    <w:p>
      <w:pPr>
        <w:pStyle w:val="21"/>
        <w:numPr>
          <w:ilvl w:val="0"/>
          <w:numId w:val="0"/>
        </w:numPr>
        <w:spacing w:beforeLines="0" w:afterLines="0" w:line="440" w:lineRule="exact"/>
        <w:ind w:leftChars="0"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乙方机械设备必须按时进场，如未按甲方指定的时间进场，由此给甲方造成的工程延误、停工或其他相关损失及后续的损失（包括第三方损失）乙方应承担全部责任</w:t>
      </w:r>
      <w:r>
        <w:rPr>
          <w:rFonts w:hint="eastAsia" w:ascii="仿宋" w:hAnsi="仿宋" w:eastAsia="仿宋" w:cs="仿宋"/>
          <w:color w:val="000000"/>
          <w:sz w:val="28"/>
          <w:szCs w:val="28"/>
          <w:lang w:val="en-US" w:eastAsia="zh-CN"/>
        </w:rPr>
        <w:t>。</w:t>
      </w:r>
    </w:p>
    <w:p>
      <w:pPr>
        <w:pStyle w:val="21"/>
        <w:numPr>
          <w:ilvl w:val="0"/>
          <w:numId w:val="0"/>
        </w:numPr>
        <w:spacing w:line="440" w:lineRule="exact"/>
        <w:ind w:leftChars="0" w:firstLine="560" w:firstLineChars="200"/>
        <w:rPr>
          <w:rFonts w:hint="eastAsia" w:ascii="仿宋" w:hAnsi="仿宋" w:eastAsia="仿宋" w:cs="仿宋"/>
          <w:color w:val="FF0000"/>
          <w:sz w:val="28"/>
          <w:szCs w:val="28"/>
          <w:lang w:eastAsia="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乙方全部设备必须确保机械性能的完好，并进行定期维护保养，</w:t>
      </w:r>
      <w:r>
        <w:rPr>
          <w:rFonts w:hint="eastAsia" w:ascii="仿宋" w:hAnsi="仿宋" w:eastAsia="仿宋" w:cs="仿宋"/>
          <w:color w:val="000000" w:themeColor="text1"/>
          <w:sz w:val="28"/>
          <w:szCs w:val="28"/>
          <w14:textFill>
            <w14:solidFill>
              <w14:schemeClr w14:val="tx1"/>
            </w14:solidFill>
          </w14:textFill>
        </w:rPr>
        <w:t>如发生施工现场机械故障应及时处理、维修，因此导致甲方的停工、误工等损失及第三方损失由乙方承担赔偿责任</w:t>
      </w:r>
      <w:r>
        <w:rPr>
          <w:rFonts w:hint="eastAsia" w:ascii="仿宋" w:hAnsi="仿宋" w:eastAsia="仿宋" w:cs="仿宋"/>
          <w:color w:val="000000"/>
          <w:sz w:val="28"/>
          <w:szCs w:val="28"/>
          <w:lang w:eastAsia="zh-CN"/>
        </w:rPr>
        <w:t>。</w:t>
      </w:r>
    </w:p>
    <w:p>
      <w:pPr>
        <w:pStyle w:val="21"/>
        <w:numPr>
          <w:ilvl w:val="0"/>
          <w:numId w:val="0"/>
        </w:numPr>
        <w:spacing w:line="440" w:lineRule="exact"/>
        <w:ind w:leftChars="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乙方需配备具有相应真实有效的证书人员进行设备操作，到场的设备机械必须保证有检测合格证并真实有效，保证设备机械的安全使用。如因人员及设备机械手续不全而产生的一切责任由乙方负责。</w:t>
      </w:r>
    </w:p>
    <w:p>
      <w:pPr>
        <w:pStyle w:val="21"/>
        <w:numPr>
          <w:ilvl w:val="0"/>
          <w:numId w:val="0"/>
        </w:num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结算方式及支付方式</w:t>
      </w:r>
    </w:p>
    <w:p>
      <w:pPr>
        <w:pStyle w:val="21"/>
        <w:numPr>
          <w:ilvl w:val="0"/>
          <w:numId w:val="0"/>
        </w:numPr>
        <w:spacing w:line="440" w:lineRule="exact"/>
        <w:ind w:leftChars="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 数量与工作时间按实结算，</w:t>
      </w:r>
      <w:r>
        <w:rPr>
          <w:rFonts w:hint="eastAsia" w:ascii="仿宋" w:hAnsi="仿宋" w:eastAsia="仿宋" w:cs="仿宋"/>
          <w:color w:val="000000" w:themeColor="text1"/>
          <w:sz w:val="28"/>
          <w:szCs w:val="28"/>
          <w:highlight w:val="none"/>
          <w14:textFill>
            <w14:solidFill>
              <w14:schemeClr w14:val="tx1"/>
            </w14:solidFill>
          </w14:textFill>
        </w:rPr>
        <w:t>最终以甲方指定人员签字盖章的单据为准。</w:t>
      </w:r>
    </w:p>
    <w:p>
      <w:pPr>
        <w:pStyle w:val="21"/>
        <w:numPr>
          <w:ilvl w:val="0"/>
          <w:numId w:val="0"/>
        </w:numPr>
        <w:spacing w:line="440" w:lineRule="exact"/>
        <w:ind w:leftChars="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 w:val="28"/>
          <w:szCs w:val="28"/>
          <w:u w:val="none"/>
          <w:lang w:val="en-US" w:eastAsia="zh-CN"/>
        </w:rPr>
        <w:t xml:space="preserve">2.2 </w:t>
      </w:r>
      <w:r>
        <w:rPr>
          <w:rFonts w:hint="eastAsia" w:ascii="仿宋" w:hAnsi="仿宋" w:eastAsia="仿宋" w:cs="仿宋"/>
          <w:color w:val="000000"/>
          <w:sz w:val="28"/>
          <w:szCs w:val="28"/>
          <w:u w:val="none"/>
        </w:rPr>
        <w:t>支付方式及时间</w:t>
      </w:r>
      <w:r>
        <w:rPr>
          <w:rFonts w:hint="eastAsia" w:ascii="仿宋" w:hAnsi="仿宋" w:eastAsia="仿宋" w:cs="仿宋"/>
          <w:color w:val="000000" w:themeColor="text1"/>
          <w:sz w:val="28"/>
          <w:szCs w:val="28"/>
          <w:u w:val="none"/>
          <w14:textFill>
            <w14:solidFill>
              <w14:schemeClr w14:val="tx1"/>
            </w14:solidFill>
          </w14:textFill>
        </w:rPr>
        <w:t>：</w:t>
      </w:r>
      <w:sdt>
        <w:sdtPr>
          <w:rPr>
            <w:rFonts w:hint="default" w:ascii="仿宋_GB2312" w:hAnsi="仿宋_GB2312" w:eastAsia="仿宋_GB2312" w:cs="仿宋_GB2312"/>
            <w:kern w:val="0"/>
            <w:sz w:val="28"/>
            <w:szCs w:val="28"/>
            <w:highlight w:val="none"/>
            <w:u w:val="none"/>
            <w:lang w:val="en-US" w:eastAsia="zh-CN" w:bidi="ar-SA"/>
          </w:rPr>
          <w:id w:val="147478115"/>
          <w:placeholder>
            <w:docPart w:val="{8388be92-542b-413c-985a-8277e3fdf7cb}"/>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none"/>
            <w:u w:val="none"/>
            <w:lang w:val="en-US" w:eastAsia="zh-CN" w:bidi="ar-SA"/>
          </w:rPr>
        </w:sdtEndPr>
        <w:sdtContent>
          <w:r>
            <w:rPr>
              <w:rFonts w:hint="eastAsia" w:ascii="仿宋" w:hAnsi="仿宋" w:eastAsia="仿宋" w:cs="仿宋"/>
              <w:color w:val="000000"/>
              <w:sz w:val="28"/>
              <w:szCs w:val="28"/>
              <w:highlight w:val="none"/>
              <w:u w:val="none"/>
              <w:lang w:val="en-US" w:eastAsia="zh-CN"/>
            </w:rPr>
            <w:t>塔吊租赁费用每季度凭双方确认的结算单按实际发生的数量统一支付，人员工资由农民工专户一个月一付，其中以招标人确认的司机考勤记录为结算依据。</w:t>
          </w:r>
        </w:sdtContent>
      </w:sdt>
      <w:r>
        <w:rPr>
          <w:rFonts w:hint="eastAsia" w:ascii="仿宋" w:hAnsi="仿宋" w:eastAsia="仿宋" w:cs="仿宋"/>
          <w:color w:val="000000" w:themeColor="text1"/>
          <w:sz w:val="28"/>
          <w:szCs w:val="28"/>
          <w:highlight w:val="none"/>
          <w:u w:val="none"/>
          <w14:textFill>
            <w14:solidFill>
              <w14:schemeClr w14:val="tx1"/>
            </w14:solidFill>
          </w14:textFill>
        </w:rPr>
        <w:t xml:space="preserve"> </w:t>
      </w:r>
    </w:p>
    <w:p>
      <w:pPr>
        <w:pStyle w:val="22"/>
        <w:numPr>
          <w:ilvl w:val="0"/>
          <w:numId w:val="0"/>
        </w:numPr>
        <w:spacing w:line="440" w:lineRule="exact"/>
        <w:ind w:leftChars="0" w:firstLine="560" w:firstLineChars="200"/>
        <w:rPr>
          <w:rFonts w:hint="eastAsia" w:ascii="仿宋" w:hAnsi="仿宋" w:eastAsia="仿宋" w:cs="仿宋"/>
          <w:sz w:val="28"/>
          <w:szCs w:val="28"/>
          <w:u w:val="none"/>
        </w:rPr>
      </w:pPr>
      <w:r>
        <w:rPr>
          <w:rFonts w:hint="eastAsia" w:ascii="仿宋" w:hAnsi="仿宋" w:eastAsia="仿宋" w:cs="仿宋"/>
          <w:color w:val="000000"/>
          <w:sz w:val="28"/>
          <w:szCs w:val="28"/>
          <w:u w:val="none"/>
          <w:lang w:val="en-US" w:eastAsia="zh-CN"/>
        </w:rPr>
        <w:t>2.3</w:t>
      </w:r>
      <w:r>
        <w:rPr>
          <w:rFonts w:hint="eastAsia" w:ascii="仿宋" w:hAnsi="仿宋" w:eastAsia="仿宋" w:cs="仿宋"/>
          <w:color w:val="000000"/>
          <w:sz w:val="28"/>
          <w:szCs w:val="28"/>
          <w:u w:val="none"/>
        </w:rPr>
        <w:t>甲方安排付款之前，乙方必须按照合同条款提供全额的增值税专用发票（纳税人为自然人时，提供自然人国税代开发票），如未能及时提供则甲方有权拒绝支付，并根据乙方提供的发票时间顺延支付时间，因此造成乙方的一切损失甲方不承担任何责任，乙方不得因此拒绝履行合同义务及责任。</w:t>
      </w:r>
    </w:p>
    <w:p>
      <w:pPr>
        <w:pStyle w:val="21"/>
        <w:numPr>
          <w:ilvl w:val="0"/>
          <w:numId w:val="0"/>
        </w:numPr>
        <w:spacing w:line="440" w:lineRule="exact"/>
        <w:ind w:left="2" w:lef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使用服务及异议处理条款</w:t>
      </w:r>
    </w:p>
    <w:p>
      <w:pPr>
        <w:pStyle w:val="21"/>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乙方必须按照要求按时进场；在接到甲方书面（传真、短信、微信等）供应机械通知起</w:t>
      </w:r>
      <w:r>
        <w:rPr>
          <w:rFonts w:hint="eastAsia" w:ascii="仿宋" w:hAnsi="仿宋" w:eastAsia="仿宋" w:cs="仿宋"/>
          <w:color w:val="000000"/>
          <w:sz w:val="28"/>
          <w:szCs w:val="28"/>
          <w:u w:val="single"/>
        </w:rPr>
        <w:t>12</w:t>
      </w:r>
      <w:r>
        <w:rPr>
          <w:rFonts w:hint="eastAsia" w:ascii="仿宋" w:hAnsi="仿宋" w:eastAsia="仿宋" w:cs="仿宋"/>
          <w:color w:val="000000"/>
          <w:sz w:val="28"/>
          <w:szCs w:val="28"/>
        </w:rPr>
        <w:t>小时内供应机械，遇节假日必须事先安排。</w:t>
      </w:r>
    </w:p>
    <w:p>
      <w:pPr>
        <w:pStyle w:val="21"/>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3.2</w:t>
      </w:r>
      <w:r>
        <w:rPr>
          <w:rFonts w:hint="eastAsia" w:ascii="仿宋" w:hAnsi="仿宋" w:eastAsia="仿宋" w:cs="仿宋"/>
          <w:color w:val="000000"/>
          <w:sz w:val="28"/>
          <w:szCs w:val="28"/>
        </w:rPr>
        <w:t>对机械租赁的数量有异议的，应在工地验收时及时进行核对，如乙方不及时核对则视为认同甲方计量结果。</w:t>
      </w:r>
    </w:p>
    <w:p>
      <w:pPr>
        <w:pStyle w:val="21"/>
        <w:numPr>
          <w:ilvl w:val="0"/>
          <w:numId w:val="0"/>
        </w:numPr>
        <w:spacing w:line="440" w:lineRule="exact"/>
        <w:ind w:left="2" w:lef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甲乙双方权利和责任</w:t>
      </w:r>
    </w:p>
    <w:p>
      <w:pPr>
        <w:pStyle w:val="21"/>
        <w:numPr>
          <w:ilvl w:val="0"/>
          <w:numId w:val="0"/>
        </w:numPr>
        <w:spacing w:line="440" w:lineRule="exact"/>
        <w:ind w:leftChars="0" w:firstLine="560" w:firstLineChars="200"/>
        <w:rPr>
          <w:rFonts w:hint="eastAsia" w:ascii="仿宋" w:hAnsi="仿宋" w:eastAsia="仿宋" w:cs="仿宋"/>
          <w:color w:val="000000"/>
          <w:sz w:val="28"/>
          <w:szCs w:val="28"/>
          <w:highlight w:val="yellow"/>
        </w:rPr>
      </w:pPr>
      <w:r>
        <w:rPr>
          <w:rFonts w:hint="eastAsia" w:ascii="仿宋" w:hAnsi="仿宋" w:eastAsia="仿宋" w:cs="仿宋"/>
          <w:color w:val="000000"/>
          <w:sz w:val="28"/>
          <w:szCs w:val="28"/>
          <w:highlight w:val="yellow"/>
          <w:lang w:val="en-US" w:eastAsia="zh-CN"/>
        </w:rPr>
        <w:t>4.1</w:t>
      </w:r>
      <w:r>
        <w:rPr>
          <w:rFonts w:hint="eastAsia" w:ascii="仿宋_GB2312" w:hAnsi="仿宋_GB2312" w:eastAsia="仿宋_GB2312" w:cs="仿宋_GB2312"/>
          <w:color w:val="auto"/>
          <w:kern w:val="0"/>
          <w:sz w:val="28"/>
          <w:szCs w:val="28"/>
          <w:highlight w:val="yellow"/>
          <w:lang w:val="en-US" w:eastAsia="zh-CN"/>
        </w:rPr>
        <w:t>乙方</w:t>
      </w:r>
      <w:r>
        <w:rPr>
          <w:rFonts w:hint="eastAsia" w:ascii="仿宋_GB2312" w:hAnsi="仿宋_GB2312" w:eastAsia="仿宋_GB2312" w:cs="仿宋_GB2312"/>
          <w:color w:val="auto"/>
          <w:kern w:val="0"/>
          <w:sz w:val="28"/>
          <w:szCs w:val="28"/>
          <w:highlight w:val="yellow"/>
        </w:rPr>
        <w:t>必须</w:t>
      </w:r>
      <w:r>
        <w:rPr>
          <w:rFonts w:hint="eastAsia" w:ascii="仿宋_GB2312" w:hAnsi="仿宋_GB2312" w:eastAsia="仿宋_GB2312" w:cs="仿宋_GB2312"/>
          <w:color w:val="auto"/>
          <w:kern w:val="0"/>
          <w:sz w:val="28"/>
          <w:szCs w:val="28"/>
          <w:highlight w:val="yellow"/>
          <w:lang w:val="en-US" w:eastAsia="zh-CN"/>
        </w:rPr>
        <w:t>承担所雇佣工人的</w:t>
      </w:r>
      <w:r>
        <w:rPr>
          <w:rFonts w:hint="eastAsia" w:ascii="仿宋_GB2312" w:hAnsi="仿宋_GB2312" w:eastAsia="仿宋_GB2312" w:cs="仿宋_GB2312"/>
          <w:color w:val="auto"/>
          <w:kern w:val="0"/>
          <w:sz w:val="28"/>
          <w:szCs w:val="28"/>
          <w:highlight w:val="yellow"/>
        </w:rPr>
        <w:t>工伤保险、人身意外险</w:t>
      </w:r>
      <w:r>
        <w:rPr>
          <w:rFonts w:hint="eastAsia" w:ascii="仿宋_GB2312" w:hAnsi="仿宋_GB2312" w:eastAsia="仿宋_GB2312" w:cs="仿宋_GB2312"/>
          <w:color w:val="auto"/>
          <w:kern w:val="0"/>
          <w:sz w:val="28"/>
          <w:szCs w:val="28"/>
          <w:highlight w:val="yellow"/>
          <w:lang w:eastAsia="zh-CN"/>
        </w:rPr>
        <w:t>，</w:t>
      </w:r>
      <w:r>
        <w:rPr>
          <w:rFonts w:hint="eastAsia" w:ascii="仿宋_GB2312" w:hAnsi="仿宋_GB2312" w:eastAsia="仿宋_GB2312" w:cs="仿宋_GB2312"/>
          <w:color w:val="auto"/>
          <w:kern w:val="0"/>
          <w:sz w:val="28"/>
          <w:szCs w:val="28"/>
          <w:highlight w:val="yellow"/>
          <w:lang w:val="en-US" w:eastAsia="zh-CN"/>
        </w:rPr>
        <w:t>以及国家及地方政府规定的其他保险，工程施工中工人伤亡事故由乙方自行负责处理，与甲方无关。甲方根据国家及地方政府规定为本工程购买的保险，相关保费由乙方按比例承担，该比例为本项目的工程总金额在总项目中的占比。一旦有意外伤害事故发生，如需要甲方承担民事责任的，保险理赔款视为甲方的赔偿金，从甲方应赔偿的金额中予以扣除，超出部分的损失由乙方承担。若因超出部分导致的纠纷而给甲方产生了损失，则事后甲方有权向乙方进行追偿，最终赔偿责任由乙方承担，甲方有权从支付给乙方的费用中扣除</w:t>
      </w:r>
      <w:r>
        <w:rPr>
          <w:rFonts w:hint="eastAsia" w:ascii="仿宋" w:hAnsi="仿宋" w:eastAsia="仿宋" w:cs="仿宋"/>
          <w:color w:val="000000"/>
          <w:sz w:val="28"/>
          <w:szCs w:val="28"/>
          <w:highlight w:val="yellow"/>
          <w:lang w:val="en-US" w:eastAsia="zh-CN"/>
        </w:rPr>
        <w:t>。</w:t>
      </w:r>
      <w:r>
        <w:rPr>
          <w:rFonts w:hint="default" w:ascii="仿宋_GB2312" w:hAnsi="仿宋_GB2312" w:eastAsia="仿宋_GB2312" w:cs="仿宋_GB2312"/>
          <w:color w:val="auto"/>
          <w:kern w:val="2"/>
          <w:sz w:val="28"/>
          <w:szCs w:val="28"/>
          <w:highlight w:val="yellow"/>
          <w:lang w:val="zh-CN" w:eastAsia="zh-CN" w:bidi="ar-SA"/>
        </w:rPr>
        <w:t>对此</w:t>
      </w:r>
      <w:r>
        <w:rPr>
          <w:rFonts w:hint="eastAsia" w:ascii="仿宋_GB2312" w:hAnsi="仿宋_GB2312" w:eastAsia="仿宋_GB2312" w:cs="仿宋_GB2312"/>
          <w:color w:val="auto"/>
          <w:kern w:val="2"/>
          <w:sz w:val="28"/>
          <w:szCs w:val="28"/>
          <w:highlight w:val="yellow"/>
          <w:lang w:val="en-US" w:eastAsia="zh-CN" w:bidi="ar-SA"/>
        </w:rPr>
        <w:t>乙方</w:t>
      </w:r>
      <w:r>
        <w:rPr>
          <w:rFonts w:hint="default" w:ascii="仿宋_GB2312" w:hAnsi="仿宋_GB2312" w:eastAsia="仿宋_GB2312" w:cs="仿宋_GB2312"/>
          <w:color w:val="auto"/>
          <w:kern w:val="2"/>
          <w:sz w:val="28"/>
          <w:szCs w:val="28"/>
          <w:highlight w:val="yellow"/>
          <w:lang w:val="zh-CN" w:eastAsia="zh-CN" w:bidi="ar-SA"/>
        </w:rPr>
        <w:t>完全知晓并接受</w:t>
      </w:r>
      <w:r>
        <w:rPr>
          <w:rFonts w:hint="eastAsia" w:ascii="仿宋_GB2312" w:hAnsi="仿宋_GB2312" w:eastAsia="仿宋_GB2312" w:cs="仿宋_GB2312"/>
          <w:color w:val="auto"/>
          <w:kern w:val="2"/>
          <w:sz w:val="28"/>
          <w:szCs w:val="28"/>
          <w:highlight w:val="yellow"/>
          <w:lang w:val="zh-CN" w:eastAsia="zh-CN" w:bidi="ar-SA"/>
        </w:rPr>
        <w:t>。</w:t>
      </w:r>
    </w:p>
    <w:p>
      <w:pPr>
        <w:pStyle w:val="23"/>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乙方应采取一切必要与合理措施，避免自身运输车辆在进入甲方现场或通过现场中对任何公路、桥梁、隧道和涵洞及其他设施的破坏或损坏。如果发生上述情况，乙方应自费修复此类损坏并承担由此引起的索赔、处罚、诉讼和其他费用。</w:t>
      </w:r>
    </w:p>
    <w:p>
      <w:pPr>
        <w:pStyle w:val="23"/>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4.3</w:t>
      </w:r>
      <w:r>
        <w:rPr>
          <w:rFonts w:hint="eastAsia" w:ascii="仿宋" w:hAnsi="仿宋" w:eastAsia="仿宋" w:cs="仿宋"/>
          <w:color w:val="000000"/>
          <w:sz w:val="28"/>
          <w:szCs w:val="28"/>
        </w:rPr>
        <w:t>除合同另有规定外，乙方还应自行、自费取得进入现场（地方公路）和为合同的实施所需通过的任何道路的通行权及其他交通设施的运行权，并交纳相应的费用。这部分费用包含在租赁单价中，甲方不再另行支付。</w:t>
      </w:r>
    </w:p>
    <w:p>
      <w:pPr>
        <w:pStyle w:val="21"/>
        <w:numPr>
          <w:ilvl w:val="0"/>
          <w:numId w:val="0"/>
        </w:numPr>
        <w:spacing w:line="440" w:lineRule="exact"/>
        <w:ind w:leftChars="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4.4</w:t>
      </w:r>
      <w:r>
        <w:rPr>
          <w:rFonts w:hint="eastAsia" w:ascii="仿宋" w:hAnsi="仿宋" w:eastAsia="仿宋" w:cs="仿宋"/>
          <w:color w:val="000000" w:themeColor="text1"/>
          <w:sz w:val="28"/>
          <w:szCs w:val="28"/>
          <w14:textFill>
            <w14:solidFill>
              <w14:schemeClr w14:val="tx1"/>
            </w14:solidFill>
          </w14:textFill>
        </w:rPr>
        <w:t>施工机械在施工过程中如发生安全事故由乙方承担；如因施工机械本身的质量问题而造成的安全事故由乙方承担。</w:t>
      </w:r>
    </w:p>
    <w:p>
      <w:pPr>
        <w:pStyle w:val="21"/>
        <w:numPr>
          <w:ilvl w:val="0"/>
          <w:numId w:val="0"/>
        </w:numPr>
        <w:spacing w:line="440" w:lineRule="exact"/>
        <w:ind w:leftChars="0"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4.5</w:t>
      </w:r>
      <w:r>
        <w:rPr>
          <w:rFonts w:hint="eastAsia" w:ascii="仿宋" w:hAnsi="仿宋" w:eastAsia="仿宋" w:cs="仿宋"/>
          <w:color w:val="000000" w:themeColor="text1"/>
          <w:sz w:val="28"/>
          <w:szCs w:val="28"/>
          <w14:textFill>
            <w14:solidFill>
              <w14:schemeClr w14:val="tx1"/>
            </w14:solidFill>
          </w14:textFill>
        </w:rPr>
        <w:t>机械设备在租赁期间，乙方机械司机要服从甲方的工作安排，因乙方司机不服从甲方的安排，甲方有权要求更换司机</w:t>
      </w:r>
      <w:r>
        <w:rPr>
          <w:rFonts w:hint="eastAsia" w:ascii="仿宋" w:hAnsi="仿宋" w:eastAsia="仿宋" w:cs="仿宋"/>
          <w:color w:val="FF0000"/>
          <w:sz w:val="28"/>
          <w:szCs w:val="28"/>
          <w:lang w:val="en-US" w:eastAsia="zh-CN"/>
        </w:rPr>
        <w:t>或</w:t>
      </w:r>
      <w:r>
        <w:rPr>
          <w:rFonts w:hint="eastAsia" w:ascii="仿宋" w:hAnsi="仿宋" w:eastAsia="仿宋" w:cs="仿宋"/>
          <w:color w:val="000000" w:themeColor="text1"/>
          <w:sz w:val="28"/>
          <w:szCs w:val="28"/>
          <w14:textFill>
            <w14:solidFill>
              <w14:schemeClr w14:val="tx1"/>
            </w14:solidFill>
          </w14:textFill>
        </w:rPr>
        <w:t>终止合同。司机在作业期间对机械设备和自身安全负全责；严格按照机械设备操作规程操作，不得违规，否则由此引发的一切安全事故均由乙方负责。</w:t>
      </w:r>
    </w:p>
    <w:p>
      <w:pPr>
        <w:pStyle w:val="23"/>
        <w:numPr>
          <w:ilvl w:val="0"/>
          <w:numId w:val="0"/>
        </w:numPr>
        <w:spacing w:line="440" w:lineRule="exact"/>
        <w:ind w:leftChars="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4.6</w:t>
      </w:r>
      <w:r>
        <w:rPr>
          <w:rFonts w:hint="eastAsia" w:ascii="仿宋" w:hAnsi="仿宋" w:eastAsia="仿宋" w:cs="仿宋"/>
          <w:color w:val="000000" w:themeColor="text1"/>
          <w:sz w:val="28"/>
          <w:szCs w:val="28"/>
          <w14:textFill>
            <w14:solidFill>
              <w14:schemeClr w14:val="tx1"/>
            </w14:solidFill>
          </w14:textFill>
        </w:rPr>
        <w:t>设备机械需要有关部门检测备案时，乙方需提供相应的证件资料，完成检测备案。</w:t>
      </w:r>
    </w:p>
    <w:p>
      <w:pPr>
        <w:pStyle w:val="21"/>
        <w:numPr>
          <w:ilvl w:val="0"/>
          <w:numId w:val="5"/>
        </w:numPr>
        <w:spacing w:line="44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合同变更与合同终止条款</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如遇下述情况出现，甲方有权解除合同：</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5.1.1</w:t>
      </w:r>
      <w:r>
        <w:rPr>
          <w:rFonts w:hint="eastAsia" w:ascii="仿宋" w:hAnsi="仿宋" w:eastAsia="仿宋" w:cs="仿宋"/>
          <w:color w:val="000000"/>
          <w:sz w:val="28"/>
          <w:szCs w:val="28"/>
        </w:rPr>
        <w:t>乙方不能在甲方约定时间内按时供应机械，影响甲方工程工期</w:t>
      </w:r>
      <w:r>
        <w:rPr>
          <w:rFonts w:hint="eastAsia" w:ascii="仿宋" w:hAnsi="仿宋" w:eastAsia="仿宋" w:cs="仿宋"/>
          <w:color w:val="000000"/>
          <w:sz w:val="28"/>
          <w:szCs w:val="28"/>
          <w:u w:val="single"/>
        </w:rPr>
        <w:t xml:space="preserve"> 2  </w:t>
      </w:r>
      <w:r>
        <w:rPr>
          <w:rFonts w:hint="eastAsia" w:ascii="仿宋" w:hAnsi="仿宋" w:eastAsia="仿宋" w:cs="仿宋"/>
          <w:color w:val="000000"/>
          <w:sz w:val="28"/>
          <w:szCs w:val="28"/>
        </w:rPr>
        <w:t>次</w:t>
      </w:r>
      <w:r>
        <w:rPr>
          <w:rFonts w:hint="eastAsia" w:ascii="仿宋" w:hAnsi="仿宋" w:eastAsia="仿宋" w:cs="仿宋"/>
          <w:color w:val="000000"/>
          <w:sz w:val="28"/>
          <w:szCs w:val="28"/>
          <w:lang w:val="en-US" w:eastAsia="zh-CN"/>
        </w:rPr>
        <w:t>及</w:t>
      </w:r>
      <w:r>
        <w:rPr>
          <w:rFonts w:hint="eastAsia" w:ascii="仿宋" w:hAnsi="仿宋" w:eastAsia="仿宋" w:cs="仿宋"/>
          <w:color w:val="000000"/>
          <w:sz w:val="28"/>
          <w:szCs w:val="28"/>
        </w:rPr>
        <w:t>以上。</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840" w:firstLineChars="3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5.1.2</w:t>
      </w:r>
      <w:r>
        <w:rPr>
          <w:rFonts w:hint="eastAsia" w:ascii="仿宋" w:hAnsi="仿宋" w:eastAsia="仿宋" w:cs="仿宋"/>
          <w:color w:val="000000"/>
          <w:sz w:val="28"/>
          <w:szCs w:val="28"/>
        </w:rPr>
        <w:t>乙方提供的机械质量不符合要求</w:t>
      </w:r>
      <w:r>
        <w:rPr>
          <w:rFonts w:hint="eastAsia" w:ascii="仿宋" w:hAnsi="仿宋" w:eastAsia="仿宋" w:cs="仿宋"/>
          <w:color w:val="000000" w:themeColor="text1"/>
          <w:sz w:val="28"/>
          <w:szCs w:val="28"/>
          <w14:textFill>
            <w14:solidFill>
              <w14:schemeClr w14:val="tx1"/>
            </w14:solidFill>
          </w14:textFill>
        </w:rPr>
        <w:t>，或者乙方人员不听从甲方指挥，</w:t>
      </w:r>
      <w:r>
        <w:rPr>
          <w:rFonts w:hint="eastAsia" w:ascii="仿宋" w:hAnsi="仿宋" w:eastAsia="仿宋" w:cs="仿宋"/>
          <w:color w:val="000000"/>
          <w:sz w:val="28"/>
          <w:szCs w:val="28"/>
        </w:rPr>
        <w:t>严重影响到甲方正常的施工进度。</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5.1.3</w:t>
      </w:r>
      <w:r>
        <w:rPr>
          <w:rFonts w:hint="eastAsia" w:ascii="仿宋" w:hAnsi="仿宋" w:eastAsia="仿宋" w:cs="仿宋"/>
          <w:color w:val="000000"/>
          <w:sz w:val="28"/>
          <w:szCs w:val="28"/>
        </w:rPr>
        <w:t>乙方存在其他违法或违约行为，严重影响了甲方正常施工的。</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5.1.4</w:t>
      </w:r>
      <w:r>
        <w:rPr>
          <w:rFonts w:hint="eastAsia" w:ascii="仿宋" w:hAnsi="仿宋" w:eastAsia="仿宋" w:cs="仿宋"/>
          <w:color w:val="000000"/>
          <w:sz w:val="28"/>
          <w:szCs w:val="28"/>
        </w:rPr>
        <w:t>任何一方如因发生不可抗拒事件而丧失履行合同能力；</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5.1.5</w:t>
      </w:r>
      <w:r>
        <w:rPr>
          <w:rFonts w:hint="eastAsia" w:ascii="仿宋" w:hAnsi="仿宋" w:eastAsia="仿宋" w:cs="仿宋"/>
          <w:color w:val="000000"/>
          <w:sz w:val="28"/>
          <w:szCs w:val="28"/>
        </w:rPr>
        <w:t>经双方协商一致同意解除的；</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甲、乙双方协商一致，对相关合同条款可以进行变更。甲、乙双方所变更的合同内容必须以书面的形式并签订相应的补充协议。补充协议作为合同的其中一部分是不可分割的，与本合同具有等同的法律效力。</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如乙方银行、账户发生变更双方应及时签订相关补充协议、乙方必须提供变更后的银行、账户资料及银行证明。</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lang w:val="en-US" w:eastAsia="zh-CN"/>
        </w:rPr>
        <w:t>5.4甲方根据上述情形而解除合同的，合同于甲方解除合同的通知到达乙方时即告解除。合同解除后，无论双方是否有未解决的争议，乙方都必须无条件从施工现场撤场。</w:t>
      </w:r>
    </w:p>
    <w:p>
      <w:pPr>
        <w:pStyle w:val="21"/>
        <w:numPr>
          <w:ilvl w:val="0"/>
          <w:numId w:val="0"/>
        </w:numPr>
        <w:spacing w:line="440" w:lineRule="exact"/>
        <w:ind w:firstLine="562" w:firstLineChars="200"/>
        <w:jc w:val="left"/>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六、</w:t>
      </w:r>
      <w:r>
        <w:rPr>
          <w:rFonts w:hint="eastAsia" w:ascii="仿宋" w:hAnsi="仿宋" w:eastAsia="仿宋" w:cs="仿宋"/>
          <w:b/>
          <w:bCs w:val="0"/>
          <w:color w:val="000000" w:themeColor="text1"/>
          <w:sz w:val="28"/>
          <w:szCs w:val="28"/>
          <w14:textFill>
            <w14:solidFill>
              <w14:schemeClr w14:val="tx1"/>
            </w14:solidFill>
          </w14:textFill>
        </w:rPr>
        <w:t>违约责任条款</w:t>
      </w:r>
    </w:p>
    <w:p>
      <w:pPr>
        <w:pStyle w:val="21"/>
        <w:numPr>
          <w:ilvl w:val="0"/>
          <w:numId w:val="0"/>
        </w:num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 w:val="28"/>
          <w:szCs w:val="28"/>
          <w:lang w:val="en-US" w:eastAsia="zh-CN"/>
        </w:rPr>
        <w:t>6.1</w:t>
      </w:r>
      <w:r>
        <w:rPr>
          <w:rFonts w:hint="eastAsia" w:ascii="仿宋" w:hAnsi="仿宋" w:eastAsia="仿宋" w:cs="仿宋"/>
          <w:color w:val="000000"/>
          <w:sz w:val="28"/>
          <w:szCs w:val="28"/>
        </w:rPr>
        <w:t>因乙方的原因导致合同解除的，甲方有权另行选择机械租赁单位继续供应机械，由此造成的价格差异、工期延误等损失均由乙方承担，并支付总额30%违约金。</w:t>
      </w:r>
    </w:p>
    <w:p>
      <w:pPr>
        <w:pStyle w:val="21"/>
        <w:numPr>
          <w:ilvl w:val="0"/>
          <w:numId w:val="0"/>
        </w:numPr>
        <w:spacing w:line="44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6.2</w:t>
      </w:r>
      <w:r>
        <w:rPr>
          <w:rFonts w:hint="eastAsia" w:ascii="仿宋" w:hAnsi="仿宋" w:eastAsia="仿宋" w:cs="仿宋"/>
          <w:color w:val="000000" w:themeColor="text1"/>
          <w:sz w:val="28"/>
          <w:szCs w:val="28"/>
          <w14:textFill>
            <w14:solidFill>
              <w14:schemeClr w14:val="tx1"/>
            </w14:solidFill>
          </w14:textFill>
        </w:rPr>
        <w:t>乙方无正当理由停止提供机械的，每发生一次向甲方支付2000元违约金，同时甲方有权单方面解除合同，另行租赁所需机械。</w:t>
      </w:r>
    </w:p>
    <w:p>
      <w:pPr>
        <w:pStyle w:val="21"/>
        <w:numPr>
          <w:ilvl w:val="0"/>
          <w:numId w:val="0"/>
        </w:numPr>
        <w:spacing w:line="44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6.3</w:t>
      </w:r>
      <w:r>
        <w:rPr>
          <w:rFonts w:hint="eastAsia" w:ascii="仿宋" w:hAnsi="仿宋" w:eastAsia="仿宋" w:cs="仿宋"/>
          <w:color w:val="000000" w:themeColor="text1"/>
          <w:sz w:val="28"/>
          <w:szCs w:val="28"/>
          <w14:textFill>
            <w14:solidFill>
              <w14:schemeClr w14:val="tx1"/>
            </w14:solidFill>
          </w14:textFill>
        </w:rPr>
        <w:t>乙方机械因故障停机，应在4小时内恢复使用，如无法恢复，需及时更换机械进场，由此给甲方造成的损失由乙方承担；如乙方拒不更换，甲方有权解除合同，因此造成的一切损失由乙方承担。</w:t>
      </w:r>
    </w:p>
    <w:p>
      <w:pPr>
        <w:pStyle w:val="21"/>
        <w:numPr>
          <w:ilvl w:val="0"/>
          <w:numId w:val="0"/>
        </w:numPr>
        <w:spacing w:line="44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6.4</w:t>
      </w:r>
      <w:r>
        <w:rPr>
          <w:rFonts w:hint="eastAsia" w:ascii="仿宋" w:hAnsi="仿宋" w:eastAsia="仿宋" w:cs="仿宋"/>
          <w:color w:val="000000" w:themeColor="text1"/>
          <w:sz w:val="28"/>
          <w:szCs w:val="28"/>
          <w14:textFill>
            <w14:solidFill>
              <w14:schemeClr w14:val="tx1"/>
            </w14:solidFill>
          </w14:textFill>
        </w:rPr>
        <w:t>其他约定事项</w:t>
      </w:r>
    </w:p>
    <w:p>
      <w:pPr>
        <w:spacing w:line="440" w:lineRule="exact"/>
        <w:ind w:left="1"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未尽事宜，经双方协商一致后签订补充协议，补充协议与本合同具有同等效力。</w:t>
      </w:r>
    </w:p>
    <w:p>
      <w:pPr>
        <w:pStyle w:val="21"/>
        <w:numPr>
          <w:ilvl w:val="0"/>
          <w:numId w:val="0"/>
        </w:numPr>
        <w:spacing w:line="440" w:lineRule="exact"/>
        <w:ind w:lef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rPr>
        <w:t>解决合同纠纷的方式条款</w:t>
      </w:r>
    </w:p>
    <w:p>
      <w:pPr>
        <w:pStyle w:val="21"/>
        <w:numPr>
          <w:ilvl w:val="0"/>
          <w:numId w:val="0"/>
        </w:num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7.1</w:t>
      </w:r>
      <w:r>
        <w:rPr>
          <w:rFonts w:hint="eastAsia" w:ascii="仿宋" w:hAnsi="仿宋" w:eastAsia="仿宋" w:cs="仿宋"/>
          <w:color w:val="000000"/>
          <w:sz w:val="28"/>
          <w:szCs w:val="28"/>
        </w:rPr>
        <w:t>本合同的纠纷采取平等、公平、互谅的原则进行协商。</w:t>
      </w:r>
    </w:p>
    <w:p>
      <w:pPr>
        <w:pStyle w:val="21"/>
        <w:numPr>
          <w:ilvl w:val="0"/>
          <w:numId w:val="0"/>
        </w:numPr>
        <w:tabs>
          <w:tab w:val="left" w:pos="525"/>
        </w:tabs>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7.2</w:t>
      </w:r>
      <w:r>
        <w:rPr>
          <w:rFonts w:hint="eastAsia" w:ascii="仿宋" w:hAnsi="仿宋" w:eastAsia="仿宋" w:cs="仿宋"/>
          <w:color w:val="000000"/>
          <w:sz w:val="28"/>
          <w:szCs w:val="28"/>
        </w:rPr>
        <w:t>甲乙双方若协商不成，则由甲方所在地法院诉讼解决。</w:t>
      </w:r>
    </w:p>
    <w:p>
      <w:pPr>
        <w:pStyle w:val="21"/>
        <w:numPr>
          <w:ilvl w:val="0"/>
          <w:numId w:val="0"/>
        </w:numPr>
        <w:spacing w:line="440" w:lineRule="exact"/>
        <w:ind w:left="2" w:leftChars="0"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八、</w:t>
      </w:r>
      <w:r>
        <w:rPr>
          <w:rFonts w:hint="eastAsia" w:ascii="仿宋" w:hAnsi="仿宋" w:eastAsia="仿宋" w:cs="仿宋"/>
          <w:b/>
          <w:bCs/>
          <w:color w:val="000000" w:themeColor="text1"/>
          <w:sz w:val="28"/>
          <w:szCs w:val="28"/>
          <w14:textFill>
            <w14:solidFill>
              <w14:schemeClr w14:val="tx1"/>
            </w14:solidFill>
          </w14:textFill>
        </w:rPr>
        <w:t>合同效力及附则</w:t>
      </w:r>
    </w:p>
    <w:p>
      <w:pPr>
        <w:pStyle w:val="21"/>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8.1</w:t>
      </w:r>
      <w:r>
        <w:rPr>
          <w:rFonts w:hint="eastAsia" w:ascii="仿宋" w:hAnsi="仿宋" w:eastAsia="仿宋" w:cs="仿宋"/>
          <w:color w:val="000000" w:themeColor="text1"/>
          <w:sz w:val="28"/>
          <w:szCs w:val="28"/>
          <w14:textFill>
            <w14:solidFill>
              <w14:schemeClr w14:val="tx1"/>
            </w14:solidFill>
          </w14:textFill>
        </w:rPr>
        <w:t>本合同一式</w:t>
      </w:r>
      <w:r>
        <w:rPr>
          <w:rFonts w:hint="eastAsia" w:ascii="仿宋" w:hAnsi="仿宋" w:eastAsia="仿宋" w:cs="仿宋"/>
          <w:color w:val="000000" w:themeColor="text1"/>
          <w:sz w:val="28"/>
          <w:szCs w:val="28"/>
          <w:u w:val="single"/>
          <w14:textFill>
            <w14:solidFill>
              <w14:schemeClr w14:val="tx1"/>
            </w14:solidFill>
          </w14:textFill>
        </w:rPr>
        <w:t>肆</w:t>
      </w:r>
      <w:r>
        <w:rPr>
          <w:rFonts w:hint="eastAsia" w:ascii="仿宋" w:hAnsi="仿宋" w:eastAsia="仿宋" w:cs="仿宋"/>
          <w:color w:val="000000" w:themeColor="text1"/>
          <w:sz w:val="28"/>
          <w:szCs w:val="28"/>
          <w14:textFill>
            <w14:solidFill>
              <w14:schemeClr w14:val="tx1"/>
            </w14:solidFill>
          </w14:textFill>
        </w:rPr>
        <w:t>份，甲方持贰份，乙方持贰份；</w:t>
      </w:r>
    </w:p>
    <w:p>
      <w:pPr>
        <w:pStyle w:val="21"/>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8.2</w:t>
      </w:r>
      <w:r>
        <w:rPr>
          <w:rFonts w:hint="eastAsia" w:ascii="仿宋" w:hAnsi="仿宋" w:eastAsia="仿宋" w:cs="仿宋"/>
          <w:color w:val="000000"/>
          <w:sz w:val="28"/>
          <w:szCs w:val="28"/>
        </w:rPr>
        <w:t>本合同经双方法定代表人或授权代理人签名并加盖公章或合同章后生效，同时，双方在履行完合同的责任和义务自动失效。</w:t>
      </w:r>
    </w:p>
    <w:p>
      <w:pPr>
        <w:pStyle w:val="21"/>
        <w:numPr>
          <w:ilvl w:val="0"/>
          <w:numId w:val="0"/>
        </w:numPr>
        <w:spacing w:line="440" w:lineRule="exact"/>
        <w:ind w:lef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8.3</w:t>
      </w:r>
      <w:r>
        <w:rPr>
          <w:rFonts w:hint="eastAsia" w:ascii="仿宋" w:hAnsi="仿宋" w:eastAsia="仿宋" w:cs="仿宋"/>
          <w:color w:val="000000"/>
          <w:sz w:val="28"/>
          <w:szCs w:val="28"/>
        </w:rPr>
        <w:t>“乙方开票人”必须与“相对人”一致，收款专户必须是“开票人”账户</w:t>
      </w:r>
      <w:r>
        <w:rPr>
          <w:rFonts w:hint="eastAsia" w:ascii="仿宋" w:hAnsi="仿宋" w:eastAsia="仿宋" w:cs="仿宋"/>
          <w:color w:val="000000"/>
          <w:sz w:val="28"/>
          <w:szCs w:val="28"/>
          <w:lang w:eastAsia="zh-CN"/>
        </w:rPr>
        <w:t>。</w:t>
      </w:r>
    </w:p>
    <w:p>
      <w:pPr>
        <w:pStyle w:val="21"/>
        <w:numPr>
          <w:ilvl w:val="0"/>
          <w:numId w:val="0"/>
        </w:num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九、</w:t>
      </w:r>
      <w:r>
        <w:rPr>
          <w:rFonts w:hint="eastAsia" w:ascii="仿宋" w:hAnsi="仿宋" w:eastAsia="仿宋" w:cs="仿宋"/>
          <w:b/>
          <w:bCs/>
          <w:color w:val="000000"/>
          <w:sz w:val="28"/>
          <w:szCs w:val="28"/>
        </w:rPr>
        <w:t>附件要求：</w:t>
      </w:r>
    </w:p>
    <w:p>
      <w:pPr>
        <w:spacing w:line="44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乙方必须在签订本合同前提供以下相关资料。</w:t>
      </w:r>
    </w:p>
    <w:p>
      <w:pPr>
        <w:pStyle w:val="21"/>
        <w:numPr>
          <w:ilvl w:val="0"/>
          <w:numId w:val="0"/>
        </w:numPr>
        <w:spacing w:line="440" w:lineRule="exact"/>
        <w:ind w:lef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9.1.</w:t>
      </w:r>
      <w:r>
        <w:rPr>
          <w:rFonts w:hint="eastAsia" w:ascii="仿宋" w:hAnsi="仿宋" w:eastAsia="仿宋" w:cs="仿宋"/>
          <w:color w:val="000000"/>
          <w:sz w:val="28"/>
          <w:szCs w:val="28"/>
        </w:rPr>
        <w:t>乙方营业执照</w:t>
      </w:r>
    </w:p>
    <w:p>
      <w:pPr>
        <w:spacing w:line="440" w:lineRule="exact"/>
        <w:rPr>
          <w:rFonts w:hint="eastAsia" w:ascii="仿宋" w:hAnsi="仿宋" w:eastAsia="仿宋" w:cs="仿宋"/>
          <w:color w:val="000000"/>
          <w:sz w:val="28"/>
          <w:szCs w:val="28"/>
        </w:rPr>
      </w:pP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甲方：(盖章)                            乙方：(盖章)</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法定代理人                              法定代理人</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或委托人：　　　                    　　或委托人：</w:t>
      </w:r>
    </w:p>
    <w:p>
      <w:pPr>
        <w:spacing w:line="440" w:lineRule="exact"/>
        <w:ind w:left="6090" w:hanging="8152" w:hangingChars="29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开户银行：</w:t>
      </w:r>
      <w:r>
        <w:rPr>
          <w:rFonts w:hint="eastAsia" w:ascii="仿宋" w:hAnsi="仿宋" w:eastAsia="仿宋" w:cs="仿宋"/>
          <w:b/>
          <w:bCs/>
          <w:color w:val="000000"/>
          <w:sz w:val="28"/>
          <w:szCs w:val="28"/>
        </w:rPr>
        <w:t xml:space="preserve">                       </w:t>
      </w:r>
      <w:r>
        <w:rPr>
          <w:rFonts w:hint="eastAsia" w:ascii="仿宋" w:hAnsi="仿宋" w:eastAsia="仿宋" w:cs="仿宋"/>
          <w:b/>
          <w:color w:val="000000"/>
          <w:sz w:val="28"/>
          <w:szCs w:val="28"/>
        </w:rPr>
        <w:t xml:space="preserve">       开户银行： </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银行帐号：</w:t>
      </w:r>
      <w:r>
        <w:rPr>
          <w:rFonts w:hint="eastAsia" w:ascii="仿宋" w:hAnsi="仿宋" w:eastAsia="仿宋" w:cs="仿宋"/>
          <w:b/>
          <w:bCs/>
          <w:color w:val="000000"/>
          <w:sz w:val="28"/>
          <w:szCs w:val="28"/>
        </w:rPr>
        <w:t xml:space="preserve">     </w:t>
      </w:r>
      <w:r>
        <w:rPr>
          <w:rFonts w:hint="eastAsia" w:ascii="仿宋" w:hAnsi="仿宋" w:eastAsia="仿宋" w:cs="仿宋"/>
          <w:b/>
          <w:color w:val="000000"/>
          <w:sz w:val="28"/>
          <w:szCs w:val="28"/>
        </w:rPr>
        <w:t xml:space="preserve">                         银行帐号：</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电话：                                  电话：</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项目实际责任人：</w:t>
      </w:r>
    </w:p>
    <w:p>
      <w:pPr>
        <w:spacing w:line="44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合同签定时间：      年     月    日   合同签定时间：    年    月   日</w:t>
      </w:r>
    </w:p>
    <w:p>
      <w:pPr>
        <w:spacing w:line="440" w:lineRule="exact"/>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（以签字盖章时间为准）　</w:t>
      </w:r>
    </w:p>
    <w:sectPr>
      <w:headerReference r:id="rId5" w:type="default"/>
      <w:footerReference r:id="rId6" w:type="default"/>
      <w:pgSz w:w="11906" w:h="16838"/>
      <w:pgMar w:top="1440" w:right="1264" w:bottom="1440" w:left="1179" w:header="851" w:footer="992" w:gutter="0"/>
      <w:pgNumType w:fmt="decimalFullWidt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lotter">
    <w:altName w:val="Verdana"/>
    <w:panose1 w:val="00000000000000000000"/>
    <w:charset w:val="00"/>
    <w:family w:val="modern"/>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1</w:t>
                          </w:r>
                          <w:r>
                            <w:rPr>
                              <w:rFonts w:hint="eastAsia" w:ascii="仿宋" w:hAnsi="仿宋" w:eastAsia="仿宋" w:cs="仿宋"/>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1</w:t>
                    </w:r>
                    <w:r>
                      <w:rPr>
                        <w:rFonts w:hint="eastAsia" w:ascii="仿宋" w:hAnsi="仿宋" w:eastAsia="仿宋" w:cs="仿宋"/>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- 33 -</w:t>
                          </w:r>
                          <w:r>
                            <w:rPr>
                              <w:rFonts w:hint="eastAsia" w:ascii="仿宋" w:hAnsi="仿宋" w:eastAsia="仿宋" w:cs="仿宋"/>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PAGE  \* MERGEFORMAT </w:instrText>
                    </w:r>
                    <w:r>
                      <w:rPr>
                        <w:rFonts w:hint="eastAsia" w:ascii="仿宋" w:hAnsi="仿宋" w:eastAsia="仿宋" w:cs="仿宋"/>
                        <w:sz w:val="18"/>
                        <w:szCs w:val="18"/>
                      </w:rPr>
                      <w:fldChar w:fldCharType="separate"/>
                    </w:r>
                    <w:r>
                      <w:rPr>
                        <w:rFonts w:hint="eastAsia" w:ascii="仿宋" w:hAnsi="仿宋" w:eastAsia="仿宋" w:cs="仿宋"/>
                        <w:sz w:val="18"/>
                        <w:szCs w:val="18"/>
                      </w:rPr>
                      <w:t>- 33 -</w:t>
                    </w:r>
                    <w:r>
                      <w:rPr>
                        <w:rFonts w:hint="eastAsia" w:ascii="仿宋" w:hAnsi="仿宋" w:eastAsia="仿宋" w:cs="仿宋"/>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4A6ACD2C"/>
    <w:multiLevelType w:val="singleLevel"/>
    <w:tmpl w:val="4A6ACD2C"/>
    <w:lvl w:ilvl="0" w:tentative="0">
      <w:start w:val="5"/>
      <w:numFmt w:val="chineseCounting"/>
      <w:suff w:val="space"/>
      <w:lvlText w:val="%1、"/>
      <w:lvlJc w:val="left"/>
      <w:rPr>
        <w:rFonts w:hint="eastAsia"/>
      </w:rPr>
    </w:lvl>
  </w:abstractNum>
  <w:abstractNum w:abstractNumId="4">
    <w:nsid w:val="7C8A8F1E"/>
    <w:multiLevelType w:val="singleLevel"/>
    <w:tmpl w:val="7C8A8F1E"/>
    <w:lvl w:ilvl="0" w:tentative="0">
      <w:start w:val="2"/>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64374B"/>
    <w:rsid w:val="02BC5875"/>
    <w:rsid w:val="03386166"/>
    <w:rsid w:val="0340173B"/>
    <w:rsid w:val="04BF3ADE"/>
    <w:rsid w:val="05AD4DA3"/>
    <w:rsid w:val="060D2627"/>
    <w:rsid w:val="06566262"/>
    <w:rsid w:val="0664493D"/>
    <w:rsid w:val="06CA06CA"/>
    <w:rsid w:val="070F05A2"/>
    <w:rsid w:val="08A300C3"/>
    <w:rsid w:val="08FB4D60"/>
    <w:rsid w:val="09B67737"/>
    <w:rsid w:val="09E7549D"/>
    <w:rsid w:val="09F40FFE"/>
    <w:rsid w:val="0A2B40C2"/>
    <w:rsid w:val="0A4D393D"/>
    <w:rsid w:val="0AA67EEA"/>
    <w:rsid w:val="0ABC39D8"/>
    <w:rsid w:val="0B925AA8"/>
    <w:rsid w:val="0D8B3083"/>
    <w:rsid w:val="0DB97164"/>
    <w:rsid w:val="0DC7255D"/>
    <w:rsid w:val="0E213296"/>
    <w:rsid w:val="0E6B6937"/>
    <w:rsid w:val="0FFB54E4"/>
    <w:rsid w:val="115E7CD4"/>
    <w:rsid w:val="117516E5"/>
    <w:rsid w:val="11E57AC4"/>
    <w:rsid w:val="126C13D1"/>
    <w:rsid w:val="128C4F28"/>
    <w:rsid w:val="13407E05"/>
    <w:rsid w:val="150838E9"/>
    <w:rsid w:val="15557EC7"/>
    <w:rsid w:val="164328A6"/>
    <w:rsid w:val="16674B8C"/>
    <w:rsid w:val="16D80B50"/>
    <w:rsid w:val="172401FC"/>
    <w:rsid w:val="17F90A1F"/>
    <w:rsid w:val="18FD3554"/>
    <w:rsid w:val="19485DAF"/>
    <w:rsid w:val="1A165883"/>
    <w:rsid w:val="1A7238EA"/>
    <w:rsid w:val="1A7D4D49"/>
    <w:rsid w:val="1B4B10A1"/>
    <w:rsid w:val="1B721452"/>
    <w:rsid w:val="1C5C04B3"/>
    <w:rsid w:val="1D352FAA"/>
    <w:rsid w:val="1D9C02F4"/>
    <w:rsid w:val="1DB33130"/>
    <w:rsid w:val="1DC43987"/>
    <w:rsid w:val="1F0F4723"/>
    <w:rsid w:val="1F154B95"/>
    <w:rsid w:val="20966027"/>
    <w:rsid w:val="21033E49"/>
    <w:rsid w:val="21B53586"/>
    <w:rsid w:val="240C6FC1"/>
    <w:rsid w:val="248F097F"/>
    <w:rsid w:val="25AC1A52"/>
    <w:rsid w:val="25AC3ECC"/>
    <w:rsid w:val="25CC4F38"/>
    <w:rsid w:val="26431A59"/>
    <w:rsid w:val="26AA2B1F"/>
    <w:rsid w:val="273F34FA"/>
    <w:rsid w:val="27444E2A"/>
    <w:rsid w:val="28546167"/>
    <w:rsid w:val="285A74F6"/>
    <w:rsid w:val="297C0A57"/>
    <w:rsid w:val="29931E14"/>
    <w:rsid w:val="2A1D189D"/>
    <w:rsid w:val="2A5C1303"/>
    <w:rsid w:val="2A76033E"/>
    <w:rsid w:val="2BF235E5"/>
    <w:rsid w:val="2C6B3D9E"/>
    <w:rsid w:val="2CA46F92"/>
    <w:rsid w:val="2DDD275B"/>
    <w:rsid w:val="2E206041"/>
    <w:rsid w:val="2EA60DD6"/>
    <w:rsid w:val="2EED2E72"/>
    <w:rsid w:val="2F7B4131"/>
    <w:rsid w:val="313B41C0"/>
    <w:rsid w:val="335660FA"/>
    <w:rsid w:val="34C66947"/>
    <w:rsid w:val="35623A18"/>
    <w:rsid w:val="36624145"/>
    <w:rsid w:val="36A168D9"/>
    <w:rsid w:val="37A9419B"/>
    <w:rsid w:val="37EE32D6"/>
    <w:rsid w:val="397E249F"/>
    <w:rsid w:val="39C872B8"/>
    <w:rsid w:val="3A8373E6"/>
    <w:rsid w:val="3B790C66"/>
    <w:rsid w:val="3C9B5CF0"/>
    <w:rsid w:val="3CCF61D5"/>
    <w:rsid w:val="3D037D04"/>
    <w:rsid w:val="3EB0679F"/>
    <w:rsid w:val="3EE94E91"/>
    <w:rsid w:val="3F036D65"/>
    <w:rsid w:val="401933BF"/>
    <w:rsid w:val="43DB70C2"/>
    <w:rsid w:val="44743BF0"/>
    <w:rsid w:val="448A4217"/>
    <w:rsid w:val="45466415"/>
    <w:rsid w:val="4645232A"/>
    <w:rsid w:val="46D11DAB"/>
    <w:rsid w:val="485479A6"/>
    <w:rsid w:val="48AD296E"/>
    <w:rsid w:val="491C0EDF"/>
    <w:rsid w:val="4933371F"/>
    <w:rsid w:val="4AF72C27"/>
    <w:rsid w:val="4BC9433F"/>
    <w:rsid w:val="4C95730F"/>
    <w:rsid w:val="4D72579F"/>
    <w:rsid w:val="4D830009"/>
    <w:rsid w:val="4EA075F1"/>
    <w:rsid w:val="4EA25786"/>
    <w:rsid w:val="4ED11A10"/>
    <w:rsid w:val="4EE11CFD"/>
    <w:rsid w:val="4F2C520F"/>
    <w:rsid w:val="4F3B50DC"/>
    <w:rsid w:val="4F9801E7"/>
    <w:rsid w:val="50812FC2"/>
    <w:rsid w:val="526B23B2"/>
    <w:rsid w:val="52E31FB8"/>
    <w:rsid w:val="56EE0C86"/>
    <w:rsid w:val="573623E3"/>
    <w:rsid w:val="57376AD1"/>
    <w:rsid w:val="57522A51"/>
    <w:rsid w:val="580C6F3F"/>
    <w:rsid w:val="5A943A15"/>
    <w:rsid w:val="5B402012"/>
    <w:rsid w:val="5B557158"/>
    <w:rsid w:val="5B73507F"/>
    <w:rsid w:val="5C1678E0"/>
    <w:rsid w:val="5D1F603D"/>
    <w:rsid w:val="5E5B4E53"/>
    <w:rsid w:val="5EEC42A1"/>
    <w:rsid w:val="5F36446E"/>
    <w:rsid w:val="60434BCE"/>
    <w:rsid w:val="60885E2E"/>
    <w:rsid w:val="609360DE"/>
    <w:rsid w:val="61083DAF"/>
    <w:rsid w:val="61990971"/>
    <w:rsid w:val="63665421"/>
    <w:rsid w:val="63FD511F"/>
    <w:rsid w:val="64A4242C"/>
    <w:rsid w:val="66216E07"/>
    <w:rsid w:val="66221F5E"/>
    <w:rsid w:val="664522D9"/>
    <w:rsid w:val="669E0497"/>
    <w:rsid w:val="66CB3C73"/>
    <w:rsid w:val="67121B6C"/>
    <w:rsid w:val="671E64BD"/>
    <w:rsid w:val="67B31BB7"/>
    <w:rsid w:val="680E6F72"/>
    <w:rsid w:val="689950F9"/>
    <w:rsid w:val="689F7808"/>
    <w:rsid w:val="68EA0382"/>
    <w:rsid w:val="69244882"/>
    <w:rsid w:val="69264346"/>
    <w:rsid w:val="695947FB"/>
    <w:rsid w:val="69953768"/>
    <w:rsid w:val="69DD59B8"/>
    <w:rsid w:val="6AB563C0"/>
    <w:rsid w:val="6ACB5B2B"/>
    <w:rsid w:val="6CB95222"/>
    <w:rsid w:val="6D6544DC"/>
    <w:rsid w:val="6E244BCE"/>
    <w:rsid w:val="6E784B2C"/>
    <w:rsid w:val="6FDD7C1E"/>
    <w:rsid w:val="72044E22"/>
    <w:rsid w:val="723517D9"/>
    <w:rsid w:val="734E474E"/>
    <w:rsid w:val="73AC4B0A"/>
    <w:rsid w:val="73D20082"/>
    <w:rsid w:val="748A53C5"/>
    <w:rsid w:val="74B67236"/>
    <w:rsid w:val="75022481"/>
    <w:rsid w:val="750232A8"/>
    <w:rsid w:val="75096F5F"/>
    <w:rsid w:val="75F16FE0"/>
    <w:rsid w:val="75F82D28"/>
    <w:rsid w:val="77023AAF"/>
    <w:rsid w:val="77CC339C"/>
    <w:rsid w:val="78282294"/>
    <w:rsid w:val="793E35C4"/>
    <w:rsid w:val="7A1B7966"/>
    <w:rsid w:val="7B6472EC"/>
    <w:rsid w:val="7B65103C"/>
    <w:rsid w:val="7C224DAA"/>
    <w:rsid w:val="7C7E24C2"/>
    <w:rsid w:val="7CB1418D"/>
    <w:rsid w:val="7E0C099E"/>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next w:val="6"/>
    <w:autoRedefine/>
    <w:unhideWhenUsed/>
    <w:qFormat/>
    <w:uiPriority w:val="99"/>
    <w:pPr>
      <w:spacing w:after="120" w:afterLines="0" w:afterAutospacing="0"/>
    </w:pPr>
  </w:style>
  <w:style w:type="paragraph" w:styleId="6">
    <w:name w:val="Body Text First Indent"/>
    <w:basedOn w:val="5"/>
    <w:next w:val="1"/>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autoRedefine/>
    <w:qFormat/>
    <w:uiPriority w:val="0"/>
    <w:pPr>
      <w:spacing w:after="120"/>
      <w:ind w:left="420" w:leftChars="200"/>
    </w:pPr>
    <w:rPr>
      <w:kern w:val="0"/>
      <w:sz w:val="20"/>
      <w:szCs w:val="24"/>
    </w:rPr>
  </w:style>
  <w:style w:type="paragraph" w:styleId="8">
    <w:name w:val="footer"/>
    <w:basedOn w:val="1"/>
    <w:autoRedefine/>
    <w:unhideWhenUsed/>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autoRedefine/>
    <w:qFormat/>
    <w:uiPriority w:val="99"/>
    <w:pPr>
      <w:ind w:left="2100" w:leftChars="1000"/>
    </w:pPr>
    <w:rPr>
      <w:rFonts w:ascii="Calibri" w:hAnsi="Calibri"/>
      <w:szCs w:val="22"/>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 w:type="character" w:customStyle="1" w:styleId="18">
    <w:name w:val="正文文本_"/>
    <w:basedOn w:val="15"/>
    <w:link w:val="19"/>
    <w:autoRedefine/>
    <w:unhideWhenUsed/>
    <w:qFormat/>
    <w:locked/>
    <w:uiPriority w:val="99"/>
    <w:rPr>
      <w:rFonts w:ascii="宋体" w:cs="宋体"/>
      <w:kern w:val="0"/>
      <w:sz w:val="23"/>
      <w:szCs w:val="23"/>
    </w:rPr>
  </w:style>
  <w:style w:type="paragraph" w:customStyle="1" w:styleId="19">
    <w:name w:val="正文文本1"/>
    <w:basedOn w:val="1"/>
    <w:link w:val="18"/>
    <w:autoRedefine/>
    <w:unhideWhenUsed/>
    <w:qFormat/>
    <w:uiPriority w:val="99"/>
    <w:pPr>
      <w:widowControl/>
      <w:shd w:val="clear" w:color="auto" w:fill="FFFFFF"/>
      <w:spacing w:line="619" w:lineRule="exact"/>
    </w:pPr>
    <w:rPr>
      <w:rFonts w:ascii="宋体" w:cs="宋体"/>
      <w:kern w:val="0"/>
      <w:sz w:val="23"/>
      <w:szCs w:val="23"/>
    </w:rPr>
  </w:style>
  <w:style w:type="paragraph" w:customStyle="1" w:styleId="20">
    <w:name w:val="纯文本1"/>
    <w:basedOn w:val="1"/>
    <w:autoRedefine/>
    <w:qFormat/>
    <w:uiPriority w:val="99"/>
    <w:rPr>
      <w:rFonts w:ascii="宋体" w:hAnsi="Plotter"/>
      <w:szCs w:val="20"/>
    </w:rPr>
  </w:style>
  <w:style w:type="paragraph" w:customStyle="1" w:styleId="21">
    <w:name w:val="列出段落1"/>
    <w:basedOn w:val="1"/>
    <w:autoRedefine/>
    <w:qFormat/>
    <w:uiPriority w:val="34"/>
    <w:pPr>
      <w:ind w:firstLine="420" w:firstLineChars="200"/>
    </w:pPr>
  </w:style>
  <w:style w:type="paragraph" w:customStyle="1" w:styleId="22">
    <w:name w:val="列出段落11"/>
    <w:basedOn w:val="1"/>
    <w:autoRedefine/>
    <w:qFormat/>
    <w:uiPriority w:val="34"/>
    <w:pPr>
      <w:ind w:firstLine="420" w:firstLineChars="200"/>
    </w:pPr>
    <w:rPr>
      <w:rFonts w:ascii="Times New Roman" w:hAnsi="Times New Roman"/>
      <w:szCs w:val="24"/>
    </w:rPr>
  </w:style>
  <w:style w:type="paragraph" w:customStyle="1" w:styleId="23">
    <w:name w:val="列出段落2"/>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
      <w:docPartPr>
        <w:name w:val="{8388be92-542b-413c-985a-8277e3fdf7cb}"/>
        <w:style w:val=""/>
        <w:category>
          <w:name w:val="常规"/>
          <w:gallery w:val="placeholder"/>
        </w:category>
        <w:types>
          <w:type w:val="bbPlcHdr"/>
        </w:types>
        <w:behaviors>
          <w:behavior w:val="content"/>
        </w:behaviors>
        <w:description w:val=""/>
        <w:guid w:val="{8388be92-542b-413c-985a-8277e3fdf7c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14090</Words>
  <Characters>14310</Characters>
  <Lines>0</Lines>
  <Paragraphs>0</Paragraphs>
  <TotalTime>26</TotalTime>
  <ScaleCrop>false</ScaleCrop>
  <LinksUpToDate>false</LinksUpToDate>
  <CharactersWithSpaces>15349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塔吊租赁费用每季度凭双方确认的结算单按实际发生的数量统一支付，人员工资由农民工专户一个月一付，其中以招标人确认的司机考勤记录为结算依据。</dc:creator>
  <dc:description>湖州市南浔区和孚镇南浔直播电商产业基地项目工程</dc:description>
  <cp:keywords>南浔直播电商产业基地项目工程总承包——塔式起重机</cp:keywords>
  <cp:lastModifiedBy>Administrator</cp:lastModifiedBy>
  <cp:lastPrinted>2024-05-20T08:42:00Z</cp:lastPrinted>
  <dcterms:modified xsi:type="dcterms:W3CDTF">2024-05-22T06:04:29Z</dcterms:modified>
  <dc:subject>建设内容包括但不限于 塔吊租赁（详见报价清单） 等工程，塔吊经安监局等验收合格，直至塔吊具备使用条件，最终以招标人及业主单位要求为准。</dc:subject>
  <dc:title> /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