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7085674"/>
      <w:bookmarkStart w:id="1" w:name="_Toc152045514"/>
      <w:bookmarkStart w:id="2" w:name="_Toc179632530"/>
      <w:bookmarkStart w:id="3" w:name="_Toc449509649"/>
      <w:bookmarkStart w:id="4" w:name="_Toc246996160"/>
      <w:bookmarkStart w:id="5" w:name="_Toc246996903"/>
      <w:bookmarkStart w:id="6" w:name="_Toc152042290"/>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南浔生态宜居排水系统改造工程-南林大桥嘉业大桥桥墩等彩绘工程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2024-N-085-下01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南浔生态宜居排水系统改造工程-南林大桥嘉业大桥桥墩等彩绘工程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桥墩、电箱等彩绘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2024年8月底完成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2000000</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湖州市南浔区南林大桥、嘉业大桥、锦绣小学南侧基站、适园路等</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建设内容包括但不限于桥墩、电箱等彩绘等工程，最终以招标人及业主单位要求为准，直至本工程满足功能性要求及设计单位、业主单位要求并竣工验收合格为止。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eastAsia="zh-CN"/>
              </w:rPr>
              <w:t>业主单位确认的结算审计价*（1-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lang w:eastAsia="zh-CN"/>
              </w:rPr>
              <w:t>）-其他扣款，</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广告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w:t>
            </w:r>
            <w:r>
              <w:rPr>
                <w:rFonts w:hint="eastAsia" w:ascii="仿宋_GB2312" w:hAnsi="仿宋_GB2312" w:eastAsia="仿宋_GB2312" w:cs="仿宋_GB2312"/>
                <w:sz w:val="28"/>
                <w:szCs w:val="28"/>
                <w:highlight w:val="none"/>
                <w:u w:val="single"/>
                <w:vertAlign w:val="baseline"/>
                <w:lang w:val="en-US" w:eastAsia="zh-CN"/>
              </w:rPr>
              <w:t xml:space="preserve"> 营业执照上与广告有关，具备彩绘能力的   </w:t>
            </w:r>
            <w:r>
              <w:rPr>
                <w:rFonts w:hint="eastAsia" w:ascii="仿宋_GB2312" w:hAnsi="仿宋_GB2312" w:eastAsia="仿宋_GB2312" w:cs="仿宋_GB2312"/>
                <w:sz w:val="28"/>
                <w:szCs w:val="28"/>
                <w:highlight w:val="none"/>
                <w:u w:val="none"/>
                <w:vertAlign w:val="baseli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备注：二个资格满足其一即可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7.5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lang w:val="en-US" w:eastAsia="zh-CN"/>
              </w:rPr>
              <w:t>不</w:t>
            </w:r>
            <w:r>
              <w:rPr>
                <w:rFonts w:hint="eastAsia" w:ascii="仿宋_GB2312" w:hAnsi="仿宋_GB2312" w:eastAsia="仿宋_GB2312" w:cs="仿宋_GB2312"/>
                <w:color w:val="000000"/>
                <w:sz w:val="28"/>
                <w:szCs w:val="28"/>
                <w:highlight w:val="none"/>
              </w:rPr>
              <w:t>含招标人与业主单位的合同下浮费率</w:t>
            </w:r>
            <w:r>
              <w:rPr>
                <w:rFonts w:hint="eastAsia" w:ascii="仿宋_GB2312" w:hAnsi="仿宋_GB2312" w:eastAsia="仿宋_GB2312" w:cs="仿宋_GB2312"/>
                <w:color w:val="000000"/>
                <w:sz w:val="28"/>
                <w:szCs w:val="28"/>
                <w:highlight w:val="yellow"/>
                <w:u w:val="single"/>
                <w:lang w:val="en-US" w:eastAsia="zh-CN"/>
              </w:rPr>
              <w:t xml:space="preserve"> 6 %</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w:t>
            </w:r>
            <w:r>
              <w:rPr>
                <w:rFonts w:hint="eastAsia" w:ascii="仿宋_GB2312" w:hAnsi="仿宋_GB2312" w:eastAsia="仿宋_GB2312" w:cs="仿宋_GB2312"/>
                <w:color w:val="000000"/>
                <w:sz w:val="28"/>
                <w:szCs w:val="28"/>
                <w:highlight w:val="none"/>
                <w:u w:val="none"/>
                <w:lang w:val="en-US" w:eastAsia="zh-CN"/>
              </w:rPr>
              <w:t>理。（已包含设计费，如用到登高车等机械时以现场签证的机械台班为准，机械台班费参与审计，工程量按实结算）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19</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时30分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r>
              <w:rPr>
                <w:rFonts w:hint="eastAsia" w:ascii="仿宋_GB2312" w:hAnsi="仿宋_GB2312" w:eastAsia="仿宋_GB2312" w:cs="仿宋_GB2312"/>
                <w:sz w:val="28"/>
                <w:szCs w:val="28"/>
                <w:highlight w:val="none"/>
                <w:lang w:val="en-US" w:eastAsia="zh-CN"/>
              </w:rPr>
              <w:t>（本次招标无）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有效报价：投标单位的投标报价高于招标控制价的，认定为无效投标报价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w:t>
      </w:r>
      <w:r>
        <w:rPr>
          <w:rFonts w:hint="eastAsia" w:ascii="仿宋_GB2312" w:hAnsi="仿宋_GB2312" w:eastAsia="仿宋_GB2312" w:cs="仿宋_GB2312"/>
          <w:sz w:val="28"/>
          <w:szCs w:val="28"/>
          <w:highlight w:val="yellow"/>
          <w:lang w:val="en-US" w:eastAsia="zh-CN"/>
        </w:rPr>
        <w:t>1分</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w:t>
      </w:r>
      <w:r>
        <w:rPr>
          <w:rFonts w:hint="eastAsia" w:ascii="仿宋_GB2312" w:hAnsi="仿宋_GB2312" w:eastAsia="仿宋_GB2312" w:cs="仿宋_GB2312"/>
          <w:sz w:val="28"/>
          <w:szCs w:val="28"/>
          <w:highlight w:val="yellow"/>
          <w:lang w:val="en-US" w:eastAsia="zh-CN"/>
        </w:rPr>
        <w:t>0.4分</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5"/>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5"/>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2"/>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6"/>
        <w:rPr>
          <w:rFonts w:hint="eastAsia" w:ascii="仿宋" w:hAnsi="仿宋" w:eastAsia="仿宋" w:cs="仿宋"/>
          <w:sz w:val="28"/>
          <w:szCs w:val="28"/>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2"/>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0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2"/>
        <w:keepNext w:val="0"/>
        <w:keepLines w:val="0"/>
        <w:pageBreakBefore w:val="0"/>
        <w:kinsoku/>
        <w:wordWrap/>
        <w:overflowPunct/>
        <w:topLinePunct w:val="0"/>
        <w:bidi w:val="0"/>
        <w:snapToGrid/>
        <w:spacing w:after="0" w:afterLines="0" w:line="50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南浔生态宜居排水系统改造工程-南林大桥嘉业大桥桥墩等彩绘工程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湖州市南浔区南林大桥、嘉业大桥、锦绣小学南侧基站、适园路等</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建设内容包括但不限于桥墩、电箱等彩绘等工程，最终以招标人及业主单位要求为准，直至本工程满足功能性要求及设计单位、业主单位要求并竣工验收合格为止。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2024年8月底完成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2"/>
        <w:keepNext w:val="0"/>
        <w:keepLines w:val="0"/>
        <w:pageBreakBefore w:val="0"/>
        <w:numPr>
          <w:ilvl w:val="0"/>
          <w:numId w:val="0"/>
        </w:numPr>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0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0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0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2"/>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0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0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0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0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2"/>
        <w:keepNext w:val="0"/>
        <w:keepLines w:val="0"/>
        <w:pageBreakBefore w:val="0"/>
        <w:widowControl/>
        <w:kinsoku/>
        <w:wordWrap/>
        <w:overflowPunct/>
        <w:topLinePunct w:val="0"/>
        <w:autoSpaceDE/>
        <w:autoSpaceDN/>
        <w:bidi w:val="0"/>
        <w:adjustRightInd/>
        <w:snapToGrid/>
        <w:spacing w:after="0" w:afterLines="0" w:line="84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2"/>
        <w:keepNext w:val="0"/>
        <w:keepLines w:val="0"/>
        <w:pageBreakBefore w:val="0"/>
        <w:widowControl/>
        <w:kinsoku/>
        <w:wordWrap/>
        <w:overflowPunct/>
        <w:topLinePunct w:val="0"/>
        <w:autoSpaceDE/>
        <w:autoSpaceDN/>
        <w:bidi w:val="0"/>
        <w:adjustRightInd/>
        <w:snapToGrid/>
        <w:spacing w:after="0" w:afterLines="0" w:line="84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2"/>
        <w:keepNext w:val="0"/>
        <w:keepLines w:val="0"/>
        <w:pageBreakBefore w:val="0"/>
        <w:widowControl/>
        <w:kinsoku/>
        <w:wordWrap/>
        <w:overflowPunct/>
        <w:topLinePunct w:val="0"/>
        <w:autoSpaceDE/>
        <w:autoSpaceDN/>
        <w:bidi w:val="0"/>
        <w:adjustRightInd/>
        <w:snapToGrid/>
        <w:spacing w:after="0" w:afterLines="0" w:line="84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4621F8C"/>
    <w:rsid w:val="05421BFA"/>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9B2CE9"/>
    <w:rsid w:val="0DC10698"/>
    <w:rsid w:val="0E213296"/>
    <w:rsid w:val="0E8B471C"/>
    <w:rsid w:val="0FA02884"/>
    <w:rsid w:val="0FFB54E4"/>
    <w:rsid w:val="109275A9"/>
    <w:rsid w:val="128C4F28"/>
    <w:rsid w:val="140B4E5D"/>
    <w:rsid w:val="1437301A"/>
    <w:rsid w:val="150838E9"/>
    <w:rsid w:val="160C4FAD"/>
    <w:rsid w:val="16661B98"/>
    <w:rsid w:val="16D80B50"/>
    <w:rsid w:val="172401FC"/>
    <w:rsid w:val="175E1271"/>
    <w:rsid w:val="177B16DD"/>
    <w:rsid w:val="17F90A1F"/>
    <w:rsid w:val="183A43E2"/>
    <w:rsid w:val="18651DBE"/>
    <w:rsid w:val="188B1748"/>
    <w:rsid w:val="18FD3554"/>
    <w:rsid w:val="1AF05E88"/>
    <w:rsid w:val="1C857007"/>
    <w:rsid w:val="1F4F5857"/>
    <w:rsid w:val="20966027"/>
    <w:rsid w:val="213C72D1"/>
    <w:rsid w:val="21A9704B"/>
    <w:rsid w:val="21E5246C"/>
    <w:rsid w:val="22930D9A"/>
    <w:rsid w:val="240C6FC1"/>
    <w:rsid w:val="24923529"/>
    <w:rsid w:val="25AC1A52"/>
    <w:rsid w:val="25AC3ECC"/>
    <w:rsid w:val="25CC4F38"/>
    <w:rsid w:val="268202E5"/>
    <w:rsid w:val="26B96A05"/>
    <w:rsid w:val="273F34FA"/>
    <w:rsid w:val="275119B7"/>
    <w:rsid w:val="27817DA6"/>
    <w:rsid w:val="28E8438B"/>
    <w:rsid w:val="29385A89"/>
    <w:rsid w:val="29931E14"/>
    <w:rsid w:val="2A1D189D"/>
    <w:rsid w:val="2A5C1303"/>
    <w:rsid w:val="2A76033E"/>
    <w:rsid w:val="2A793B49"/>
    <w:rsid w:val="2BF235E5"/>
    <w:rsid w:val="2BFB6029"/>
    <w:rsid w:val="2C7A3CC3"/>
    <w:rsid w:val="2C936391"/>
    <w:rsid w:val="2CA46F92"/>
    <w:rsid w:val="2D2E3708"/>
    <w:rsid w:val="2D4C1D3E"/>
    <w:rsid w:val="2DDD275B"/>
    <w:rsid w:val="2EA60DD6"/>
    <w:rsid w:val="2EE70255"/>
    <w:rsid w:val="2EED2E72"/>
    <w:rsid w:val="2F7B4131"/>
    <w:rsid w:val="2FD47A9D"/>
    <w:rsid w:val="30981779"/>
    <w:rsid w:val="328416F9"/>
    <w:rsid w:val="34390751"/>
    <w:rsid w:val="343D1E3E"/>
    <w:rsid w:val="34882AE1"/>
    <w:rsid w:val="34B25A95"/>
    <w:rsid w:val="34C66947"/>
    <w:rsid w:val="376D3632"/>
    <w:rsid w:val="39C872B8"/>
    <w:rsid w:val="3A8373E6"/>
    <w:rsid w:val="3B346B06"/>
    <w:rsid w:val="3B790C66"/>
    <w:rsid w:val="3CCF61D5"/>
    <w:rsid w:val="3E081EA5"/>
    <w:rsid w:val="3EE94E91"/>
    <w:rsid w:val="401933BF"/>
    <w:rsid w:val="401B49F1"/>
    <w:rsid w:val="407C2246"/>
    <w:rsid w:val="40CC5ECD"/>
    <w:rsid w:val="419E3F6A"/>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5B87767"/>
    <w:rsid w:val="57230952"/>
    <w:rsid w:val="57376AD1"/>
    <w:rsid w:val="57522A51"/>
    <w:rsid w:val="580C6F3F"/>
    <w:rsid w:val="58C25FDA"/>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9F35D6B"/>
    <w:rsid w:val="6AB563C0"/>
    <w:rsid w:val="6ACB5B2B"/>
    <w:rsid w:val="6AD63EF6"/>
    <w:rsid w:val="6B063CC1"/>
    <w:rsid w:val="6B8159D3"/>
    <w:rsid w:val="6C0E1CFE"/>
    <w:rsid w:val="6C3C063E"/>
    <w:rsid w:val="6C45317F"/>
    <w:rsid w:val="6E244BCE"/>
    <w:rsid w:val="6E6C2030"/>
    <w:rsid w:val="6F370F32"/>
    <w:rsid w:val="6FDD7C1E"/>
    <w:rsid w:val="71774396"/>
    <w:rsid w:val="7184078F"/>
    <w:rsid w:val="72044E22"/>
    <w:rsid w:val="73D20082"/>
    <w:rsid w:val="74B67236"/>
    <w:rsid w:val="750232A8"/>
    <w:rsid w:val="75F16FE0"/>
    <w:rsid w:val="75F82D28"/>
    <w:rsid w:val="77CC339C"/>
    <w:rsid w:val="7A1B7966"/>
    <w:rsid w:val="7B65103C"/>
    <w:rsid w:val="7BF33070"/>
    <w:rsid w:val="7BF548BF"/>
    <w:rsid w:val="7CB1418D"/>
    <w:rsid w:val="7E430037"/>
    <w:rsid w:val="7E623396"/>
    <w:rsid w:val="7EA74C32"/>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autoRedefine/>
    <w:unhideWhenUsed/>
    <w:qFormat/>
    <w:uiPriority w:val="99"/>
    <w:pPr>
      <w:spacing w:after="120" w:afterLines="0" w:afterAutospacing="0"/>
    </w:pPr>
  </w:style>
  <w:style w:type="paragraph" w:styleId="5">
    <w:name w:val="Normal Indent"/>
    <w:basedOn w:val="1"/>
    <w:autoRedefine/>
    <w:qFormat/>
    <w:uiPriority w:val="0"/>
    <w:pPr>
      <w:ind w:firstLine="420" w:firstLineChars="200"/>
    </w:pPr>
    <w:rPr>
      <w:kern w:val="0"/>
      <w:sz w:val="20"/>
      <w:szCs w:val="24"/>
    </w:rPr>
  </w:style>
  <w:style w:type="paragraph" w:styleId="6">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7">
    <w:name w:val="Body Text Indent"/>
    <w:basedOn w:val="1"/>
    <w:autoRedefine/>
    <w:qFormat/>
    <w:uiPriority w:val="0"/>
    <w:pPr>
      <w:spacing w:after="120"/>
      <w:ind w:left="420" w:leftChars="200"/>
    </w:pPr>
    <w:rPr>
      <w:kern w:val="0"/>
      <w:sz w:val="20"/>
      <w:szCs w:val="24"/>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autoRedefine/>
    <w:qFormat/>
    <w:uiPriority w:val="99"/>
    <w:pPr>
      <w:ind w:left="2100" w:leftChars="1000"/>
    </w:pPr>
    <w:rPr>
      <w:rFonts w:ascii="Calibri" w:hAnsi="Calibri"/>
      <w:szCs w:val="22"/>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24761</Words>
  <Characters>25150</Characters>
  <Lines>0</Lines>
  <Paragraphs>0</Paragraphs>
  <TotalTime>1</TotalTime>
  <ScaleCrop>false</ScaleCrop>
  <LinksUpToDate>false</LinksUpToDate>
  <CharactersWithSpaces>26097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湖州市南浔区南林大桥、嘉业大桥、锦绣小学南侧基站、适园路等</dc:description>
  <cp:keywords>南浔生态宜居排水系统改造工程-南林大桥嘉业大桥桥墩等彩绘工程</cp:keywords>
  <cp:lastModifiedBy>Administrator</cp:lastModifiedBy>
  <cp:lastPrinted>2024-07-16T06:46:00Z</cp:lastPrinted>
  <dcterms:modified xsi:type="dcterms:W3CDTF">2024-07-17T01:04:54Z</dcterms:modified>
  <dc:subject>建设内容包括但不限于桥墩、电箱等彩绘等工程，最终以招标人及业主单位要求为准，直至本工程满足功能性要求及设计单位、业主单位要求并竣工验收合格为止。</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