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E90CAB">
      <w:pPr>
        <w:spacing w:line="560" w:lineRule="exact"/>
        <w:jc w:val="center"/>
        <w:rPr>
          <w:rFonts w:hint="eastAsia" w:ascii="方正小标宋简体" w:hAnsi="方正小标宋简体" w:eastAsia="方正小标宋简体" w:cs="方正小标宋简体"/>
          <w:color w:val="auto"/>
          <w:sz w:val="44"/>
          <w:szCs w:val="44"/>
          <w:highlight w:val="none"/>
          <w:u w:val="single"/>
        </w:rPr>
      </w:pPr>
      <w:bookmarkStart w:id="0" w:name="OLE_LINK8"/>
      <w:bookmarkStart w:id="1" w:name="OLE_LINK82"/>
      <w:bookmarkStart w:id="2" w:name="_Toc152045514"/>
      <w:bookmarkStart w:id="3" w:name="_Toc246996160"/>
      <w:bookmarkStart w:id="4" w:name="_Toc179632530"/>
      <w:bookmarkStart w:id="5" w:name="_Toc144974482"/>
      <w:bookmarkStart w:id="6" w:name="_Toc246996903"/>
      <w:bookmarkStart w:id="7" w:name="_Toc152042290"/>
      <w:bookmarkStart w:id="8" w:name="_Toc247085674"/>
      <w:bookmarkStart w:id="9" w:name="_Toc449509649"/>
      <w:r>
        <w:rPr>
          <w:rFonts w:hint="eastAsia" w:ascii="方正小标宋简体" w:hAnsi="方正小标宋简体" w:eastAsia="方正小标宋简体" w:cs="方正小标宋简体"/>
          <w:color w:val="auto"/>
          <w:sz w:val="44"/>
          <w:szCs w:val="44"/>
          <w:highlight w:val="none"/>
          <w:u w:val="single"/>
        </w:rPr>
        <w:t>湖州市南浔区“百漾千河”综合治理PPP项目运营养护管理</w:t>
      </w:r>
      <w:bookmarkEnd w:id="0"/>
      <w:r>
        <w:rPr>
          <w:rFonts w:hint="eastAsia" w:ascii="方正小标宋简体" w:hAnsi="方正小标宋简体" w:eastAsia="方正小标宋简体" w:cs="方正小标宋简体"/>
          <w:color w:val="auto"/>
          <w:sz w:val="44"/>
          <w:szCs w:val="44"/>
          <w:highlight w:val="none"/>
          <w:u w:val="single"/>
        </w:rPr>
        <w:t>施工班组</w:t>
      </w:r>
    </w:p>
    <w:p w14:paraId="42F824AC">
      <w:pPr>
        <w:spacing w:line="56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招标文件</w:t>
      </w:r>
    </w:p>
    <w:p w14:paraId="63DCEEE1">
      <w:pPr>
        <w:pStyle w:val="15"/>
        <w:rPr>
          <w:color w:val="auto"/>
          <w:highlight w:val="none"/>
        </w:rPr>
      </w:pPr>
    </w:p>
    <w:p w14:paraId="17B8F597">
      <w:pPr>
        <w:pStyle w:val="15"/>
        <w:rPr>
          <w:color w:val="auto"/>
          <w:highlight w:val="none"/>
        </w:rPr>
      </w:pPr>
      <w:r>
        <w:rPr>
          <w:rFonts w:hint="eastAsia"/>
          <w:color w:val="auto"/>
          <w:highlight w:val="none"/>
        </w:rPr>
        <w:t>项目编号：</w:t>
      </w:r>
      <w:r>
        <w:rPr>
          <w:rFonts w:hint="eastAsia"/>
          <w:color w:val="auto"/>
          <w:highlight w:val="none"/>
          <w:lang w:val="en-US" w:eastAsia="zh-CN"/>
        </w:rPr>
        <w:t>2024-W-080-下01</w:t>
      </w:r>
      <w:bookmarkStart w:id="10" w:name="OLE_LINK83"/>
    </w:p>
    <w:bookmarkEnd w:id="10"/>
    <w:p w14:paraId="2D3117DE">
      <w:pPr>
        <w:pStyle w:val="15"/>
        <w:rPr>
          <w:color w:val="auto"/>
          <w:highlight w:val="none"/>
        </w:rPr>
      </w:pPr>
    </w:p>
    <w:p w14:paraId="3E11A6E5">
      <w:pPr>
        <w:pStyle w:val="15"/>
        <w:rPr>
          <w:color w:val="auto"/>
          <w:highlight w:val="none"/>
        </w:rPr>
      </w:pPr>
      <w:r>
        <w:rPr>
          <w:rFonts w:hint="eastAsia"/>
          <w:color w:val="auto"/>
          <w:highlight w:val="none"/>
        </w:rPr>
        <w:t>招标人：</w:t>
      </w:r>
      <w:bookmarkStart w:id="11" w:name="OLE_LINK25"/>
      <w:r>
        <w:rPr>
          <w:rFonts w:hint="eastAsia"/>
          <w:color w:val="auto"/>
          <w:highlight w:val="none"/>
        </w:rPr>
        <w:t>湖州南浔城投城市建设集团有限公司</w:t>
      </w:r>
      <w:bookmarkEnd w:id="11"/>
      <w:r>
        <w:rPr>
          <w:rFonts w:hint="eastAsia"/>
          <w:color w:val="auto"/>
          <w:highlight w:val="none"/>
        </w:rPr>
        <w:t>（盖章）</w:t>
      </w:r>
    </w:p>
    <w:p w14:paraId="1A53774F">
      <w:pPr>
        <w:pStyle w:val="15"/>
        <w:rPr>
          <w:color w:val="auto"/>
          <w:highlight w:val="none"/>
        </w:rPr>
      </w:pPr>
      <w:r>
        <w:rPr>
          <w:rFonts w:hint="eastAsia"/>
          <w:color w:val="auto"/>
          <w:highlight w:val="none"/>
        </w:rPr>
        <w:t xml:space="preserve"> </w:t>
      </w:r>
    </w:p>
    <w:p w14:paraId="23DCCF7D">
      <w:pPr>
        <w:pStyle w:val="15"/>
        <w:rPr>
          <w:color w:val="auto"/>
          <w:highlight w:val="none"/>
        </w:rPr>
      </w:pPr>
      <w:r>
        <w:rPr>
          <w:rFonts w:hint="eastAsia"/>
          <w:color w:val="auto"/>
          <w:highlight w:val="none"/>
        </w:rPr>
        <w:t>代理机构：</w:t>
      </w:r>
      <w:bookmarkStart w:id="12" w:name="OLE_LINK30"/>
      <w:r>
        <w:rPr>
          <w:rFonts w:hint="eastAsia"/>
          <w:color w:val="auto"/>
          <w:highlight w:val="none"/>
          <w:lang w:eastAsia="zh-CN"/>
        </w:rPr>
        <w:t>浙江建安工程管理有限公司</w:t>
      </w:r>
      <w:bookmarkEnd w:id="12"/>
      <w:r>
        <w:rPr>
          <w:rFonts w:hint="eastAsia"/>
          <w:color w:val="auto"/>
          <w:highlight w:val="none"/>
        </w:rPr>
        <w:t>（盖章）</w:t>
      </w:r>
    </w:p>
    <w:p w14:paraId="2A161C96">
      <w:pPr>
        <w:pStyle w:val="15"/>
        <w:rPr>
          <w:color w:val="auto"/>
          <w:highlight w:val="none"/>
        </w:rPr>
      </w:pPr>
    </w:p>
    <w:p w14:paraId="6E8C6FA9">
      <w:pPr>
        <w:pStyle w:val="15"/>
        <w:rPr>
          <w:color w:val="auto"/>
          <w:highlight w:val="none"/>
        </w:rPr>
      </w:pPr>
      <w:r>
        <w:rPr>
          <w:rFonts w:hint="eastAsia"/>
          <w:color w:val="auto"/>
          <w:highlight w:val="none"/>
        </w:rPr>
        <w:t>日期：2024年</w:t>
      </w:r>
      <w:r>
        <w:rPr>
          <w:rFonts w:hint="eastAsia"/>
          <w:color w:val="auto"/>
          <w:highlight w:val="none"/>
          <w:lang w:val="en-US" w:eastAsia="zh-CN"/>
        </w:rPr>
        <w:t>9</w:t>
      </w:r>
      <w:r>
        <w:rPr>
          <w:rFonts w:hint="eastAsia"/>
          <w:color w:val="auto"/>
          <w:highlight w:val="none"/>
        </w:rPr>
        <w:t>月</w:t>
      </w:r>
      <w:bookmarkEnd w:id="1"/>
      <w:r>
        <w:rPr>
          <w:rFonts w:hint="eastAsia"/>
          <w:color w:val="auto"/>
          <w:highlight w:val="none"/>
        </w:rPr>
        <w:t xml:space="preserve"> </w:t>
      </w:r>
    </w:p>
    <w:p w14:paraId="0A87D2B7">
      <w:pPr>
        <w:pStyle w:val="15"/>
        <w:rPr>
          <w:color w:val="auto"/>
          <w:highlight w:val="none"/>
        </w:rPr>
      </w:pPr>
    </w:p>
    <w:p w14:paraId="37333040">
      <w:pPr>
        <w:pStyle w:val="15"/>
        <w:rPr>
          <w:color w:val="auto"/>
          <w:highlight w:val="none"/>
        </w:rPr>
      </w:pPr>
    </w:p>
    <w:p w14:paraId="1F2DFCAF">
      <w:pPr>
        <w:pStyle w:val="15"/>
        <w:rPr>
          <w:color w:val="auto"/>
          <w:highlight w:val="none"/>
        </w:rPr>
      </w:pPr>
    </w:p>
    <w:p w14:paraId="26E7A588">
      <w:pPr>
        <w:pStyle w:val="15"/>
        <w:rPr>
          <w:color w:val="auto"/>
          <w:highlight w:val="none"/>
        </w:rPr>
      </w:pPr>
    </w:p>
    <w:p w14:paraId="7B0F2304">
      <w:pPr>
        <w:pStyle w:val="15"/>
        <w:rPr>
          <w:color w:val="auto"/>
          <w:highlight w:val="none"/>
        </w:rPr>
      </w:pPr>
    </w:p>
    <w:p w14:paraId="7F04856A">
      <w:pPr>
        <w:pStyle w:val="15"/>
        <w:rPr>
          <w:color w:val="auto"/>
          <w:highlight w:val="none"/>
        </w:rPr>
      </w:pPr>
    </w:p>
    <w:p w14:paraId="75001DD5">
      <w:pPr>
        <w:pStyle w:val="15"/>
        <w:rPr>
          <w:color w:val="auto"/>
          <w:highlight w:val="none"/>
        </w:rPr>
      </w:pPr>
    </w:p>
    <w:p w14:paraId="7BD8C37A">
      <w:pPr>
        <w:pStyle w:val="15"/>
        <w:rPr>
          <w:color w:val="auto"/>
          <w:highlight w:val="none"/>
        </w:rPr>
      </w:pPr>
    </w:p>
    <w:p w14:paraId="33900F3D">
      <w:pPr>
        <w:pStyle w:val="15"/>
        <w:rPr>
          <w:color w:val="auto"/>
          <w:highlight w:val="none"/>
        </w:rPr>
      </w:pPr>
    </w:p>
    <w:p w14:paraId="0B9A3BC6">
      <w:pPr>
        <w:pStyle w:val="15"/>
        <w:rPr>
          <w:color w:val="auto"/>
          <w:highlight w:val="none"/>
        </w:rPr>
      </w:pPr>
    </w:p>
    <w:p w14:paraId="4FA3EE95">
      <w:pPr>
        <w:pStyle w:val="15"/>
        <w:rPr>
          <w:color w:val="auto"/>
          <w:highlight w:val="none"/>
        </w:rPr>
      </w:pPr>
    </w:p>
    <w:p w14:paraId="4CC50714">
      <w:pPr>
        <w:pStyle w:val="15"/>
        <w:rPr>
          <w:color w:val="auto"/>
          <w:highlight w:val="none"/>
        </w:rPr>
      </w:pPr>
    </w:p>
    <w:p w14:paraId="4B195F50">
      <w:pPr>
        <w:pStyle w:val="15"/>
        <w:rPr>
          <w:rFonts w:hint="eastAsia"/>
          <w:color w:val="auto"/>
          <w:highlight w:val="none"/>
        </w:rPr>
      </w:pPr>
      <w:bookmarkStart w:id="13" w:name="OLE_LINK76"/>
      <w:r>
        <w:rPr>
          <w:rFonts w:hint="eastAsia"/>
          <w:color w:val="auto"/>
          <w:highlight w:val="none"/>
        </w:rPr>
        <w:t>第一章 招标要求</w:t>
      </w:r>
    </w:p>
    <w:bookmarkEnd w:id="2"/>
    <w:bookmarkEnd w:id="3"/>
    <w:bookmarkEnd w:id="4"/>
    <w:bookmarkEnd w:id="5"/>
    <w:bookmarkEnd w:id="6"/>
    <w:bookmarkEnd w:id="7"/>
    <w:bookmarkEnd w:id="8"/>
    <w:bookmarkEnd w:id="9"/>
    <w:bookmarkEnd w:id="13"/>
    <w:p w14:paraId="569E52A2">
      <w:pPr>
        <w:spacing w:line="560" w:lineRule="exact"/>
        <w:ind w:firstLine="56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一、项目概况及基本要求</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7144"/>
      </w:tblGrid>
      <w:tr w14:paraId="170F0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14:paraId="06018836">
            <w:pPr>
              <w:pStyle w:val="15"/>
              <w:rPr>
                <w:color w:val="auto"/>
                <w:highlight w:val="none"/>
              </w:rPr>
            </w:pPr>
            <w:r>
              <w:rPr>
                <w:rFonts w:hint="eastAsia"/>
                <w:color w:val="auto"/>
                <w:highlight w:val="none"/>
              </w:rPr>
              <w:t>类别</w:t>
            </w:r>
          </w:p>
        </w:tc>
        <w:tc>
          <w:tcPr>
            <w:tcW w:w="7144" w:type="dxa"/>
            <w:vAlign w:val="center"/>
          </w:tcPr>
          <w:p w14:paraId="39BC3BB2">
            <w:pPr>
              <w:pStyle w:val="15"/>
              <w:rPr>
                <w:color w:val="auto"/>
                <w:highlight w:val="none"/>
              </w:rPr>
            </w:pPr>
            <w:r>
              <w:rPr>
                <w:rFonts w:hint="eastAsia"/>
                <w:color w:val="auto"/>
                <w:highlight w:val="none"/>
              </w:rPr>
              <w:t>描述（要求）</w:t>
            </w:r>
          </w:p>
        </w:tc>
      </w:tr>
      <w:tr w14:paraId="3B145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14:paraId="2E60FC05">
            <w:pPr>
              <w:pStyle w:val="15"/>
              <w:rPr>
                <w:color w:val="auto"/>
                <w:highlight w:val="none"/>
              </w:rPr>
            </w:pPr>
            <w:r>
              <w:rPr>
                <w:rFonts w:hint="eastAsia"/>
                <w:color w:val="auto"/>
                <w:highlight w:val="none"/>
              </w:rPr>
              <w:t>项目名称</w:t>
            </w:r>
          </w:p>
        </w:tc>
        <w:tc>
          <w:tcPr>
            <w:tcW w:w="7144" w:type="dxa"/>
            <w:vAlign w:val="center"/>
          </w:tcPr>
          <w:p w14:paraId="7912B9AC">
            <w:pPr>
              <w:pStyle w:val="15"/>
              <w:spacing w:line="480" w:lineRule="exact"/>
              <w:rPr>
                <w:color w:val="auto"/>
                <w:highlight w:val="none"/>
              </w:rPr>
            </w:pPr>
            <w:bookmarkStart w:id="14" w:name="OLE_LINK34"/>
            <w:sdt>
              <w:sdtPr>
                <w:rPr>
                  <w:rFonts w:hint="eastAsia"/>
                  <w:color w:val="auto"/>
                  <w:highlight w:val="none"/>
                </w:rPr>
                <w:id w:val="-520096658"/>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color w:val="auto"/>
                  <w:highlight w:val="none"/>
                </w:rPr>
              </w:sdtEndPr>
              <w:sdtContent>
                <w:r>
                  <w:rPr>
                    <w:rFonts w:hint="eastAsia"/>
                    <w:color w:val="auto"/>
                    <w:highlight w:val="none"/>
                    <w:lang w:eastAsia="zh-CN"/>
                  </w:rPr>
                  <w:t>湖州市南浔区“百漾千河”综合治理PPP项目运营养护管理</w:t>
                </w:r>
              </w:sdtContent>
            </w:sdt>
            <w:bookmarkEnd w:id="14"/>
          </w:p>
        </w:tc>
      </w:tr>
      <w:tr w14:paraId="549F2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14:paraId="2BB86FD0">
            <w:pPr>
              <w:pStyle w:val="15"/>
              <w:rPr>
                <w:color w:val="auto"/>
                <w:highlight w:val="none"/>
              </w:rPr>
            </w:pPr>
            <w:r>
              <w:rPr>
                <w:rFonts w:hint="eastAsia"/>
                <w:color w:val="auto"/>
                <w:highlight w:val="none"/>
              </w:rPr>
              <w:t>招标单位</w:t>
            </w:r>
          </w:p>
        </w:tc>
        <w:tc>
          <w:tcPr>
            <w:tcW w:w="7144" w:type="dxa"/>
            <w:vAlign w:val="center"/>
          </w:tcPr>
          <w:p w14:paraId="2F519C16">
            <w:pPr>
              <w:pStyle w:val="15"/>
              <w:rPr>
                <w:color w:val="auto"/>
                <w:highlight w:val="none"/>
              </w:rPr>
            </w:pPr>
            <w:r>
              <w:rPr>
                <w:rFonts w:hint="eastAsia"/>
                <w:color w:val="auto"/>
                <w:highlight w:val="none"/>
              </w:rPr>
              <w:t>湖州南浔城投城市建设集团有限公司</w:t>
            </w:r>
          </w:p>
        </w:tc>
      </w:tr>
      <w:tr w14:paraId="6F1A6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14:paraId="06370128">
            <w:pPr>
              <w:pStyle w:val="15"/>
              <w:rPr>
                <w:color w:val="auto"/>
                <w:highlight w:val="none"/>
              </w:rPr>
            </w:pPr>
            <w:r>
              <w:rPr>
                <w:rFonts w:hint="eastAsia"/>
                <w:color w:val="auto"/>
                <w:highlight w:val="none"/>
              </w:rPr>
              <w:t>分包模式</w:t>
            </w:r>
          </w:p>
        </w:tc>
        <w:tc>
          <w:tcPr>
            <w:tcW w:w="7144" w:type="dxa"/>
            <w:vAlign w:val="center"/>
          </w:tcPr>
          <w:p w14:paraId="5A665BE2">
            <w:pPr>
              <w:pStyle w:val="15"/>
              <w:rPr>
                <w:color w:val="auto"/>
                <w:highlight w:val="none"/>
              </w:rPr>
            </w:pPr>
            <w:r>
              <w:rPr>
                <w:rFonts w:hint="eastAsia"/>
                <w:color w:val="auto"/>
                <w:highlight w:val="none"/>
              </w:rPr>
              <w:sym w:font="Wingdings" w:char="00A8"/>
            </w:r>
            <w:r>
              <w:rPr>
                <w:rFonts w:hint="eastAsia"/>
                <w:color w:val="auto"/>
                <w:highlight w:val="none"/>
              </w:rPr>
              <w:t>直营</w:t>
            </w:r>
            <w:r>
              <w:rPr>
                <w:rFonts w:hint="eastAsia"/>
                <w:color w:val="auto"/>
                <w:highlight w:val="none"/>
              </w:rPr>
              <w:sym w:font="Wingdings" w:char="00A8"/>
            </w:r>
            <w:r>
              <w:rPr>
                <w:rFonts w:hint="eastAsia"/>
                <w:color w:val="auto"/>
                <w:highlight w:val="none"/>
              </w:rPr>
              <w:t>劳务分包</w:t>
            </w:r>
            <w:r>
              <w:rPr>
                <w:rFonts w:hint="eastAsia"/>
                <w:color w:val="auto"/>
                <w:highlight w:val="none"/>
              </w:rPr>
              <w:sym w:font="Wingdings" w:char="00A8"/>
            </w:r>
            <w:r>
              <w:rPr>
                <w:rFonts w:hint="eastAsia"/>
                <w:color w:val="auto"/>
                <w:highlight w:val="none"/>
              </w:rPr>
              <w:t>劳务分包+部分主材甲供</w:t>
            </w:r>
            <w:r>
              <w:rPr>
                <w:color w:val="auto"/>
                <w:highlight w:val="none"/>
              </w:rPr>
              <w:t xml:space="preserve">  </w:t>
            </w:r>
            <w:r>
              <w:rPr>
                <w:rFonts w:hint="eastAsia"/>
                <w:color w:val="auto"/>
                <w:highlight w:val="none"/>
              </w:rPr>
              <w:t xml:space="preserve"> </w:t>
            </w:r>
          </w:p>
          <w:p w14:paraId="5CB99D98">
            <w:pPr>
              <w:pStyle w:val="15"/>
              <w:rPr>
                <w:color w:val="auto"/>
                <w:highlight w:val="none"/>
              </w:rPr>
            </w:pPr>
            <w:r>
              <w:rPr>
                <w:rFonts w:hint="eastAsia"/>
                <w:color w:val="auto"/>
                <w:highlight w:val="none"/>
              </w:rPr>
              <w:sym w:font="Wingdings" w:char="00FE"/>
            </w:r>
            <w:r>
              <w:rPr>
                <w:rFonts w:hint="eastAsia"/>
                <w:color w:val="auto"/>
                <w:highlight w:val="none"/>
              </w:rPr>
              <w:t xml:space="preserve">专业分包 </w:t>
            </w:r>
            <w:r>
              <w:rPr>
                <w:rFonts w:hint="eastAsia"/>
                <w:color w:val="auto"/>
                <w:highlight w:val="none"/>
              </w:rPr>
              <w:sym w:font="Wingdings" w:char="00A8"/>
            </w:r>
            <w:r>
              <w:rPr>
                <w:rFonts w:hint="eastAsia"/>
                <w:color w:val="auto"/>
                <w:highlight w:val="none"/>
              </w:rPr>
              <w:t xml:space="preserve">其它      </w:t>
            </w:r>
          </w:p>
        </w:tc>
      </w:tr>
      <w:tr w14:paraId="30735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14:paraId="60E06685">
            <w:pPr>
              <w:pStyle w:val="15"/>
              <w:rPr>
                <w:color w:val="auto"/>
                <w:highlight w:val="none"/>
              </w:rPr>
            </w:pPr>
            <w:r>
              <w:rPr>
                <w:rFonts w:hint="eastAsia"/>
                <w:color w:val="auto"/>
                <w:highlight w:val="none"/>
              </w:rPr>
              <w:t>工程规模</w:t>
            </w:r>
          </w:p>
        </w:tc>
        <w:tc>
          <w:tcPr>
            <w:tcW w:w="7144" w:type="dxa"/>
            <w:vAlign w:val="center"/>
          </w:tcPr>
          <w:p w14:paraId="1917CA7C">
            <w:pPr>
              <w:pStyle w:val="15"/>
              <w:jc w:val="left"/>
              <w:rPr>
                <w:color w:val="auto"/>
                <w:highlight w:val="none"/>
              </w:rPr>
            </w:pPr>
            <w:r>
              <w:rPr>
                <w:rFonts w:hint="eastAsia"/>
                <w:color w:val="auto"/>
                <w:highlight w:val="none"/>
              </w:rPr>
              <w:t>根据</w:t>
            </w:r>
            <w:r>
              <w:rPr>
                <w:rFonts w:hint="eastAsia"/>
                <w:color w:val="auto"/>
                <w:highlight w:val="none"/>
                <w:lang w:eastAsia="zh-CN"/>
              </w:rPr>
              <w:t>发包人</w:t>
            </w:r>
            <w:r>
              <w:rPr>
                <w:rFonts w:hint="eastAsia"/>
                <w:color w:val="auto"/>
                <w:highlight w:val="none"/>
              </w:rPr>
              <w:t>要求完成湖州市南浔区“百漾千河”综合治理PPP项目运营养护管理项目</w:t>
            </w:r>
          </w:p>
        </w:tc>
      </w:tr>
      <w:tr w14:paraId="7C311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14:paraId="20F9DD74">
            <w:pPr>
              <w:pStyle w:val="15"/>
              <w:rPr>
                <w:color w:val="auto"/>
                <w:highlight w:val="none"/>
              </w:rPr>
            </w:pPr>
            <w:r>
              <w:rPr>
                <w:rFonts w:hint="eastAsia"/>
                <w:color w:val="auto"/>
                <w:highlight w:val="none"/>
              </w:rPr>
              <w:t>施工工期</w:t>
            </w:r>
          </w:p>
        </w:tc>
        <w:tc>
          <w:tcPr>
            <w:tcW w:w="7144" w:type="dxa"/>
            <w:vAlign w:val="center"/>
          </w:tcPr>
          <w:p w14:paraId="0E71342A">
            <w:pPr>
              <w:pStyle w:val="15"/>
              <w:jc w:val="left"/>
              <w:rPr>
                <w:rFonts w:hint="eastAsia" w:eastAsia="仿宋_GB2312"/>
                <w:color w:val="auto"/>
                <w:highlight w:val="none"/>
                <w:u w:val="none"/>
                <w:lang w:eastAsia="zh-CN"/>
              </w:rPr>
            </w:pPr>
            <w:bookmarkStart w:id="15" w:name="OLE_LINK96"/>
            <w:bookmarkStart w:id="16" w:name="OLE_LINK29"/>
            <w:r>
              <w:rPr>
                <w:rFonts w:hint="eastAsia"/>
                <w:color w:val="auto"/>
                <w:highlight w:val="none"/>
                <w:u w:val="none"/>
                <w:lang w:val="en-US" w:eastAsia="zh-CN"/>
              </w:rPr>
              <w:t>合同签订之日起</w:t>
            </w:r>
            <w:r>
              <w:rPr>
                <w:rFonts w:hint="eastAsia"/>
                <w:color w:val="auto"/>
                <w:highlight w:val="none"/>
                <w:u w:val="none"/>
              </w:rPr>
              <w:t>至 2026</w:t>
            </w:r>
            <w:bookmarkStart w:id="17" w:name="OLE_LINK59"/>
            <w:r>
              <w:rPr>
                <w:rFonts w:hint="eastAsia"/>
                <w:color w:val="auto"/>
                <w:highlight w:val="none"/>
                <w:u w:val="none"/>
              </w:rPr>
              <w:t xml:space="preserve"> </w:t>
            </w:r>
            <w:bookmarkEnd w:id="17"/>
            <w:r>
              <w:rPr>
                <w:rFonts w:hint="eastAsia"/>
                <w:color w:val="auto"/>
                <w:highlight w:val="none"/>
                <w:u w:val="none"/>
              </w:rPr>
              <w:t>年08月31日止，共</w:t>
            </w:r>
            <w:r>
              <w:rPr>
                <w:rFonts w:hint="eastAsia"/>
                <w:color w:val="auto"/>
                <w:highlight w:val="none"/>
                <w:u w:val="none"/>
                <w:lang w:val="en-US" w:eastAsia="zh-CN"/>
              </w:rPr>
              <w:t>约</w:t>
            </w:r>
            <w:r>
              <w:rPr>
                <w:rFonts w:hint="eastAsia"/>
                <w:color w:val="auto"/>
                <w:highlight w:val="none"/>
                <w:u w:val="none"/>
              </w:rPr>
              <w:t>2年</w:t>
            </w:r>
            <w:bookmarkEnd w:id="15"/>
            <w:r>
              <w:rPr>
                <w:rFonts w:hint="eastAsia"/>
                <w:color w:val="auto"/>
                <w:highlight w:val="none"/>
                <w:u w:val="none"/>
                <w:lang w:eastAsia="zh-CN"/>
              </w:rPr>
              <w:t>；</w:t>
            </w:r>
          </w:p>
          <w:p w14:paraId="25C9A60F">
            <w:pPr>
              <w:pStyle w:val="15"/>
              <w:jc w:val="left"/>
              <w:rPr>
                <w:rFonts w:hint="eastAsia"/>
                <w:color w:val="auto"/>
                <w:highlight w:val="none"/>
                <w:u w:val="single"/>
              </w:rPr>
            </w:pPr>
            <w:bookmarkStart w:id="18" w:name="OLE_LINK74"/>
            <w:bookmarkStart w:id="19" w:name="OLE_LINK5"/>
            <w:r>
              <w:rPr>
                <w:rFonts w:hint="eastAsia"/>
                <w:color w:val="auto"/>
                <w:highlight w:val="none"/>
                <w:u w:val="none"/>
                <w:lang w:val="en-US" w:eastAsia="zh-CN"/>
              </w:rPr>
              <w:t>招标人</w:t>
            </w:r>
            <w:r>
              <w:rPr>
                <w:rFonts w:hint="eastAsia"/>
                <w:color w:val="auto"/>
                <w:highlight w:val="none"/>
                <w:u w:val="none"/>
                <w:lang w:eastAsia="zh-CN"/>
              </w:rPr>
              <w:t>有权根据对</w:t>
            </w:r>
            <w:r>
              <w:rPr>
                <w:rFonts w:hint="eastAsia"/>
                <w:color w:val="auto"/>
                <w:highlight w:val="none"/>
                <w:u w:val="none"/>
                <w:lang w:val="en-US" w:eastAsia="zh-CN"/>
              </w:rPr>
              <w:t>中标人</w:t>
            </w:r>
            <w:r>
              <w:rPr>
                <w:rFonts w:hint="eastAsia"/>
                <w:color w:val="auto"/>
                <w:highlight w:val="none"/>
                <w:u w:val="none"/>
                <w:lang w:eastAsia="zh-CN"/>
              </w:rPr>
              <w:t>日常不定期考核、季度考核及年度综合考核情况单方决定是否继续委托</w:t>
            </w:r>
            <w:r>
              <w:rPr>
                <w:rFonts w:hint="eastAsia"/>
                <w:color w:val="auto"/>
                <w:highlight w:val="none"/>
                <w:u w:val="none"/>
                <w:lang w:val="en-US" w:eastAsia="zh-CN"/>
              </w:rPr>
              <w:t>中标人</w:t>
            </w:r>
            <w:r>
              <w:rPr>
                <w:rFonts w:hint="eastAsia"/>
                <w:color w:val="auto"/>
                <w:highlight w:val="none"/>
                <w:u w:val="none"/>
                <w:lang w:eastAsia="zh-CN"/>
              </w:rPr>
              <w:t>，如</w:t>
            </w:r>
            <w:r>
              <w:rPr>
                <w:rFonts w:hint="eastAsia"/>
                <w:color w:val="auto"/>
                <w:highlight w:val="none"/>
                <w:u w:val="none"/>
                <w:lang w:val="en-US" w:eastAsia="zh-CN"/>
              </w:rPr>
              <w:t>招标人</w:t>
            </w:r>
            <w:r>
              <w:rPr>
                <w:rFonts w:hint="eastAsia"/>
                <w:color w:val="auto"/>
                <w:highlight w:val="none"/>
                <w:u w:val="none"/>
                <w:lang w:eastAsia="zh-CN"/>
              </w:rPr>
              <w:t>决定继续委托的，本合同继续有效；否则，</w:t>
            </w:r>
            <w:r>
              <w:rPr>
                <w:rFonts w:hint="eastAsia"/>
                <w:color w:val="auto"/>
                <w:highlight w:val="none"/>
                <w:u w:val="none"/>
                <w:lang w:val="en-US" w:eastAsia="zh-CN"/>
              </w:rPr>
              <w:t>招标人</w:t>
            </w:r>
            <w:r>
              <w:rPr>
                <w:rFonts w:hint="eastAsia"/>
                <w:color w:val="auto"/>
                <w:highlight w:val="none"/>
                <w:u w:val="none"/>
                <w:lang w:eastAsia="zh-CN"/>
              </w:rPr>
              <w:t>有权终止合同，另行招标、委托。</w:t>
            </w:r>
            <w:bookmarkEnd w:id="16"/>
            <w:bookmarkEnd w:id="18"/>
            <w:bookmarkEnd w:id="19"/>
          </w:p>
        </w:tc>
      </w:tr>
      <w:tr w14:paraId="42852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917" w:type="dxa"/>
            <w:vAlign w:val="center"/>
          </w:tcPr>
          <w:p w14:paraId="2EACBCA6">
            <w:pPr>
              <w:pStyle w:val="15"/>
              <w:rPr>
                <w:color w:val="auto"/>
                <w:highlight w:val="none"/>
              </w:rPr>
            </w:pPr>
            <w:r>
              <w:rPr>
                <w:rFonts w:hint="eastAsia"/>
                <w:color w:val="auto"/>
                <w:highlight w:val="none"/>
              </w:rPr>
              <w:t>项目预算价</w:t>
            </w:r>
          </w:p>
        </w:tc>
        <w:tc>
          <w:tcPr>
            <w:tcW w:w="7144" w:type="dxa"/>
            <w:vAlign w:val="center"/>
          </w:tcPr>
          <w:p w14:paraId="1A645B3B">
            <w:pPr>
              <w:keepNext w:val="0"/>
              <w:keepLines w:val="0"/>
              <w:widowControl/>
              <w:numPr>
                <w:ilvl w:val="0"/>
                <w:numId w:val="0"/>
              </w:numPr>
              <w:suppressLineNumbers w:val="0"/>
              <w:jc w:val="left"/>
              <w:rPr>
                <w:rFonts w:hint="default"/>
                <w:color w:val="auto"/>
                <w:highlight w:val="none"/>
                <w:lang w:val="en-US"/>
              </w:rPr>
            </w:pPr>
            <w:bookmarkStart w:id="20" w:name="OLE_LINK38"/>
            <w:bookmarkStart w:id="21" w:name="OLE_LINK21"/>
            <w:bookmarkStart w:id="22" w:name="OLE_LINK12"/>
            <w:bookmarkStart w:id="23" w:name="OLE_LINK2"/>
            <w:r>
              <w:rPr>
                <w:rFonts w:hint="eastAsia" w:ascii="仿宋_GB2312" w:hAnsi="仿宋_GB2312" w:eastAsia="仿宋_GB2312" w:cs="仿宋_GB2312"/>
                <w:color w:val="auto"/>
                <w:kern w:val="0"/>
                <w:sz w:val="28"/>
                <w:szCs w:val="28"/>
                <w:highlight w:val="none"/>
                <w:lang w:val="en-US" w:eastAsia="zh-CN" w:bidi="ar-SA"/>
              </w:rPr>
              <w:t>约</w:t>
            </w:r>
            <w:bookmarkEnd w:id="20"/>
            <w:bookmarkStart w:id="24" w:name="OLE_LINK40"/>
            <w:r>
              <w:rPr>
                <w:rFonts w:hint="eastAsia" w:ascii="仿宋_GB2312" w:hAnsi="仿宋_GB2312" w:eastAsia="仿宋_GB2312" w:cs="仿宋_GB2312"/>
                <w:color w:val="auto"/>
                <w:kern w:val="0"/>
                <w:sz w:val="28"/>
                <w:szCs w:val="28"/>
                <w:highlight w:val="none"/>
                <w:u w:val="none"/>
                <w:lang w:val="en-US" w:eastAsia="zh-CN"/>
              </w:rPr>
              <w:t>315万元/年</w:t>
            </w:r>
            <w:bookmarkEnd w:id="21"/>
            <w:bookmarkEnd w:id="22"/>
            <w:bookmarkEnd w:id="23"/>
            <w:bookmarkEnd w:id="24"/>
          </w:p>
        </w:tc>
      </w:tr>
      <w:tr w14:paraId="5959A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17" w:type="dxa"/>
            <w:vAlign w:val="center"/>
          </w:tcPr>
          <w:p w14:paraId="38C122F9">
            <w:pPr>
              <w:pStyle w:val="15"/>
              <w:rPr>
                <w:color w:val="auto"/>
                <w:highlight w:val="none"/>
              </w:rPr>
            </w:pPr>
            <w:r>
              <w:rPr>
                <w:rFonts w:hint="eastAsia"/>
                <w:color w:val="auto"/>
                <w:highlight w:val="none"/>
              </w:rPr>
              <w:t>项目地点</w:t>
            </w:r>
          </w:p>
        </w:tc>
        <w:tc>
          <w:tcPr>
            <w:tcW w:w="7144" w:type="dxa"/>
            <w:vAlign w:val="center"/>
          </w:tcPr>
          <w:p w14:paraId="7DFC6017">
            <w:pPr>
              <w:pStyle w:val="15"/>
              <w:jc w:val="left"/>
              <w:rPr>
                <w:color w:val="auto"/>
                <w:highlight w:val="none"/>
                <w:u w:val="single"/>
              </w:rPr>
            </w:pPr>
            <w:bookmarkStart w:id="25" w:name="OLE_LINK39"/>
            <w:r>
              <w:rPr>
                <w:rFonts w:hint="eastAsia"/>
                <w:color w:val="auto"/>
                <w:highlight w:val="none"/>
                <w:u w:val="none"/>
                <w:lang w:val="en-US" w:eastAsia="zh-CN"/>
              </w:rPr>
              <w:t>湖州市南浔区</w:t>
            </w:r>
            <w:bookmarkEnd w:id="25"/>
          </w:p>
        </w:tc>
      </w:tr>
      <w:tr w14:paraId="4E93E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14:paraId="7BC51C96">
            <w:pPr>
              <w:pStyle w:val="15"/>
              <w:rPr>
                <w:color w:val="auto"/>
                <w:highlight w:val="none"/>
              </w:rPr>
            </w:pPr>
            <w:r>
              <w:rPr>
                <w:rFonts w:hint="eastAsia"/>
                <w:color w:val="auto"/>
                <w:highlight w:val="none"/>
              </w:rPr>
              <w:t>施工范围</w:t>
            </w:r>
          </w:p>
        </w:tc>
        <w:tc>
          <w:tcPr>
            <w:tcW w:w="7144" w:type="dxa"/>
            <w:vAlign w:val="center"/>
          </w:tcPr>
          <w:p w14:paraId="08C5F639">
            <w:pPr>
              <w:pStyle w:val="15"/>
              <w:jc w:val="left"/>
              <w:rPr>
                <w:rFonts w:hint="eastAsia"/>
                <w:color w:val="auto"/>
                <w:highlight w:val="none"/>
              </w:rPr>
            </w:pPr>
            <w:bookmarkStart w:id="26" w:name="OLE_LINK9"/>
            <w:bookmarkStart w:id="27" w:name="OLE_LINK15"/>
            <w:r>
              <w:rPr>
                <w:rFonts w:hint="eastAsia"/>
                <w:color w:val="auto"/>
                <w:highlight w:val="none"/>
              </w:rPr>
              <w:t>运营养护管理范围为南浔区“百漾千河”综合治理PPP项目实施的湖漾和骨干河道的综合治理（服务范围：</w:t>
            </w:r>
            <w:r>
              <w:rPr>
                <w:rFonts w:hint="eastAsia"/>
                <w:color w:val="auto"/>
                <w:highlight w:val="none"/>
                <w:lang w:val="en-US" w:eastAsia="zh-CN"/>
              </w:rPr>
              <w:t>详见附件1</w:t>
            </w:r>
            <w:r>
              <w:rPr>
                <w:rFonts w:hint="eastAsia"/>
                <w:color w:val="auto"/>
                <w:highlight w:val="none"/>
              </w:rPr>
              <w:t>）。主要包括沿岸景观带的设施（路灯、亭廊、座椅等）及堤防护岸的维护、绿化养护、沿岸人行步道、景观节点的保洁、日常维护维修及配套服务，</w:t>
            </w:r>
            <w:r>
              <w:rPr>
                <w:rFonts w:hint="eastAsia"/>
                <w:color w:val="auto"/>
                <w:highlight w:val="none"/>
                <w:lang w:eastAsia="zh-Hans"/>
              </w:rPr>
              <w:t>服务范围</w:t>
            </w:r>
            <w:r>
              <w:rPr>
                <w:rFonts w:hint="eastAsia"/>
                <w:color w:val="auto"/>
                <w:highlight w:val="none"/>
              </w:rPr>
              <w:t>以</w:t>
            </w:r>
            <w:r>
              <w:rPr>
                <w:rFonts w:hint="eastAsia"/>
                <w:color w:val="auto"/>
                <w:highlight w:val="none"/>
                <w:lang w:eastAsia="zh-CN"/>
              </w:rPr>
              <w:t>招标人</w:t>
            </w:r>
            <w:bookmarkStart w:id="28" w:name="OLE_LINK46"/>
            <w:r>
              <w:rPr>
                <w:rFonts w:hint="eastAsia"/>
                <w:color w:val="auto"/>
                <w:highlight w:val="none"/>
                <w:lang w:eastAsia="zh-CN"/>
              </w:rPr>
              <w:t>、</w:t>
            </w:r>
            <w:r>
              <w:rPr>
                <w:rFonts w:hint="eastAsia"/>
                <w:color w:val="auto"/>
                <w:highlight w:val="none"/>
                <w:lang w:val="en-US" w:eastAsia="zh-CN"/>
              </w:rPr>
              <w:t>业主单位</w:t>
            </w:r>
            <w:bookmarkEnd w:id="28"/>
            <w:r>
              <w:rPr>
                <w:rFonts w:hint="eastAsia"/>
                <w:color w:val="auto"/>
                <w:highlight w:val="none"/>
                <w:lang w:val="en-US" w:eastAsia="zh-CN"/>
              </w:rPr>
              <w:t>的要求</w:t>
            </w:r>
            <w:r>
              <w:rPr>
                <w:rFonts w:hint="eastAsia"/>
                <w:color w:val="auto"/>
                <w:highlight w:val="none"/>
              </w:rPr>
              <w:t>为准。</w:t>
            </w:r>
            <w:bookmarkEnd w:id="26"/>
          </w:p>
          <w:bookmarkEnd w:id="27"/>
          <w:p w14:paraId="4646F4E0">
            <w:pPr>
              <w:pStyle w:val="14"/>
              <w:adjustRightInd w:val="0"/>
              <w:snapToGrid w:val="0"/>
              <w:spacing w:before="0" w:beforeAutospacing="0" w:after="0" w:afterAutospacing="0" w:line="480" w:lineRule="exact"/>
              <w:ind w:firstLine="0" w:firstLineChars="0"/>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注：</w:t>
            </w:r>
          </w:p>
          <w:p w14:paraId="6012DB0D">
            <w:pPr>
              <w:pStyle w:val="14"/>
              <w:adjustRightInd w:val="0"/>
              <w:snapToGrid w:val="0"/>
              <w:spacing w:before="0" w:beforeAutospacing="0" w:after="0" w:afterAutospacing="0" w:line="480" w:lineRule="exact"/>
              <w:ind w:firstLine="0" w:firstLineChars="0"/>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1.本项目共分3个标段，具体标段划分见附件1（标段顺序为：双林、南浔、练市），</w:t>
            </w:r>
            <w:bookmarkStart w:id="29" w:name="OLE_LINK28"/>
            <w:r>
              <w:rPr>
                <w:rFonts w:hint="eastAsia" w:ascii="仿宋_GB2312" w:hAnsi="仿宋_GB2312" w:eastAsia="仿宋_GB2312" w:cs="仿宋_GB2312"/>
                <w:b/>
                <w:bCs/>
                <w:color w:val="auto"/>
                <w:kern w:val="0"/>
                <w:sz w:val="28"/>
                <w:szCs w:val="28"/>
                <w:highlight w:val="none"/>
                <w:lang w:val="en-US" w:eastAsia="zh-CN" w:bidi="ar-SA"/>
              </w:rPr>
              <w:t>投标人可投多个标段，同一投标人只能中一个标段，若出现同一投标人中不同标段时，则按该标段中标顺序由下一名递补（如：同一投标人同时分别为1标段和2标段的第一中标侯选人，按标段顺序确定其为1标段的中标人，2标段则由第二中标候选人中标。）</w:t>
            </w:r>
            <w:bookmarkEnd w:id="29"/>
          </w:p>
          <w:p w14:paraId="74624439">
            <w:pPr>
              <w:pStyle w:val="15"/>
              <w:jc w:val="left"/>
              <w:rPr>
                <w:rFonts w:hint="eastAsia"/>
                <w:color w:val="auto"/>
                <w:highlight w:val="none"/>
              </w:rPr>
            </w:pPr>
            <w:r>
              <w:rPr>
                <w:rFonts w:hint="eastAsia" w:cs="仿宋_GB2312"/>
                <w:b/>
                <w:bCs/>
                <w:color w:val="auto"/>
                <w:kern w:val="0"/>
                <w:sz w:val="28"/>
                <w:szCs w:val="28"/>
                <w:highlight w:val="none"/>
                <w:lang w:val="en-US" w:eastAsia="zh-CN" w:bidi="ar-SA"/>
              </w:rPr>
              <w:t>2.</w:t>
            </w:r>
            <w:bookmarkStart w:id="30" w:name="OLE_LINK64"/>
            <w:r>
              <w:rPr>
                <w:rFonts w:hint="eastAsia" w:ascii="仿宋_GB2312" w:hAnsi="仿宋_GB2312" w:eastAsia="仿宋_GB2312" w:cs="仿宋_GB2312"/>
                <w:b/>
                <w:bCs/>
                <w:color w:val="auto"/>
                <w:kern w:val="0"/>
                <w:sz w:val="28"/>
                <w:szCs w:val="28"/>
                <w:highlight w:val="none"/>
                <w:lang w:val="en-US" w:eastAsia="zh-CN" w:bidi="ar-SA"/>
              </w:rPr>
              <w:t>运营养护管理费</w:t>
            </w:r>
            <w:r>
              <w:rPr>
                <w:rFonts w:hint="eastAsia" w:cs="仿宋_GB2312"/>
                <w:b/>
                <w:bCs/>
                <w:color w:val="auto"/>
                <w:kern w:val="0"/>
                <w:sz w:val="28"/>
                <w:szCs w:val="28"/>
                <w:highlight w:val="none"/>
                <w:lang w:val="en-US" w:eastAsia="zh-CN" w:bidi="ar-SA"/>
              </w:rPr>
              <w:t>的</w:t>
            </w:r>
            <w:bookmarkStart w:id="31" w:name="OLE_LINK63"/>
            <w:r>
              <w:rPr>
                <w:rFonts w:hint="eastAsia" w:ascii="仿宋_GB2312" w:hAnsi="仿宋_GB2312" w:eastAsia="仿宋_GB2312" w:cs="仿宋_GB2312"/>
                <w:b/>
                <w:bCs/>
                <w:color w:val="auto"/>
                <w:sz w:val="28"/>
                <w:szCs w:val="28"/>
                <w:highlight w:val="none"/>
                <w:lang w:val="en-US" w:eastAsia="zh-CN"/>
              </w:rPr>
              <w:t>签约合同</w:t>
            </w:r>
            <w:r>
              <w:rPr>
                <w:rFonts w:hint="eastAsia" w:cs="仿宋_GB2312"/>
                <w:b/>
                <w:bCs/>
                <w:color w:val="auto"/>
                <w:sz w:val="28"/>
                <w:szCs w:val="28"/>
                <w:highlight w:val="none"/>
                <w:lang w:val="en-US" w:eastAsia="zh-CN"/>
              </w:rPr>
              <w:t>价</w:t>
            </w:r>
            <w:bookmarkEnd w:id="31"/>
            <w:r>
              <w:rPr>
                <w:rFonts w:hint="eastAsia" w:ascii="仿宋_GB2312" w:hAnsi="仿宋_GB2312" w:eastAsia="仿宋_GB2312" w:cs="仿宋_GB2312"/>
                <w:b/>
                <w:bCs/>
                <w:color w:val="auto"/>
                <w:sz w:val="28"/>
                <w:szCs w:val="28"/>
                <w:highlight w:val="none"/>
                <w:lang w:val="en-US" w:eastAsia="zh-CN"/>
              </w:rPr>
              <w:t>为三家中标单位</w:t>
            </w:r>
            <w:r>
              <w:rPr>
                <w:rFonts w:hint="eastAsia" w:cs="仿宋_GB2312"/>
                <w:b/>
                <w:bCs/>
                <w:color w:val="auto"/>
                <w:sz w:val="28"/>
                <w:szCs w:val="28"/>
                <w:highlight w:val="none"/>
                <w:lang w:val="en-US" w:eastAsia="zh-CN"/>
              </w:rPr>
              <w:t>中报价最低的单位；</w:t>
            </w:r>
            <w:r>
              <w:rPr>
                <w:rFonts w:hint="eastAsia" w:ascii="仿宋_GB2312" w:hAnsi="仿宋_GB2312" w:eastAsia="仿宋_GB2312" w:cs="仿宋_GB2312"/>
                <w:b/>
                <w:bCs/>
                <w:color w:val="auto"/>
                <w:kern w:val="0"/>
                <w:sz w:val="28"/>
                <w:szCs w:val="28"/>
                <w:highlight w:val="none"/>
                <w:lang w:val="en-US" w:eastAsia="zh-CN" w:bidi="ar-SA"/>
              </w:rPr>
              <w:t>安全应急处置费</w:t>
            </w:r>
            <w:r>
              <w:rPr>
                <w:rFonts w:hint="eastAsia" w:cs="仿宋_GB2312"/>
                <w:b/>
                <w:bCs/>
                <w:color w:val="auto"/>
                <w:kern w:val="0"/>
                <w:sz w:val="28"/>
                <w:szCs w:val="28"/>
                <w:highlight w:val="none"/>
                <w:lang w:val="en-US" w:eastAsia="zh-CN" w:bidi="ar-SA"/>
              </w:rPr>
              <w:t>的</w:t>
            </w:r>
            <w:r>
              <w:rPr>
                <w:rFonts w:hint="eastAsia" w:ascii="仿宋_GB2312" w:hAnsi="仿宋_GB2312" w:eastAsia="仿宋_GB2312" w:cs="仿宋_GB2312"/>
                <w:b/>
                <w:bCs/>
                <w:color w:val="auto"/>
                <w:sz w:val="28"/>
                <w:szCs w:val="28"/>
                <w:highlight w:val="none"/>
                <w:lang w:val="en-US" w:eastAsia="zh-CN"/>
              </w:rPr>
              <w:t>签约合同</w:t>
            </w:r>
            <w:r>
              <w:rPr>
                <w:rFonts w:hint="eastAsia" w:cs="仿宋_GB2312"/>
                <w:b/>
                <w:bCs/>
                <w:color w:val="auto"/>
                <w:sz w:val="28"/>
                <w:szCs w:val="28"/>
                <w:highlight w:val="none"/>
                <w:lang w:val="en-US" w:eastAsia="zh-CN"/>
              </w:rPr>
              <w:t>价</w:t>
            </w:r>
            <w:r>
              <w:rPr>
                <w:rFonts w:hint="eastAsia" w:ascii="仿宋_GB2312" w:hAnsi="仿宋_GB2312" w:eastAsia="仿宋_GB2312" w:cs="仿宋_GB2312"/>
                <w:b/>
                <w:bCs/>
                <w:color w:val="auto"/>
                <w:sz w:val="28"/>
                <w:szCs w:val="28"/>
                <w:highlight w:val="none"/>
                <w:lang w:val="en-US" w:eastAsia="zh-CN"/>
              </w:rPr>
              <w:t>为三家中标单位</w:t>
            </w:r>
            <w:r>
              <w:rPr>
                <w:rFonts w:hint="eastAsia" w:cs="仿宋_GB2312"/>
                <w:b/>
                <w:bCs/>
                <w:color w:val="auto"/>
                <w:sz w:val="28"/>
                <w:szCs w:val="28"/>
                <w:highlight w:val="none"/>
                <w:lang w:val="en-US" w:eastAsia="zh-CN"/>
              </w:rPr>
              <w:t>中下浮最高的</w:t>
            </w:r>
            <w:bookmarkEnd w:id="30"/>
            <w:bookmarkStart w:id="32" w:name="OLE_LINK68"/>
            <w:r>
              <w:rPr>
                <w:rFonts w:hint="eastAsia" w:cs="仿宋_GB2312"/>
                <w:b/>
                <w:bCs/>
                <w:color w:val="auto"/>
                <w:sz w:val="28"/>
                <w:szCs w:val="28"/>
                <w:highlight w:val="none"/>
                <w:lang w:val="en-US" w:eastAsia="zh-CN"/>
              </w:rPr>
              <w:t>单位</w:t>
            </w:r>
            <w:r>
              <w:rPr>
                <w:rFonts w:hint="eastAsia" w:ascii="仿宋_GB2312" w:hAnsi="仿宋_GB2312" w:eastAsia="仿宋_GB2312" w:cs="仿宋_GB2312"/>
                <w:b/>
                <w:bCs/>
                <w:color w:val="auto"/>
                <w:kern w:val="0"/>
                <w:sz w:val="28"/>
                <w:szCs w:val="28"/>
                <w:highlight w:val="none"/>
                <w:lang w:val="en-US" w:eastAsia="zh-CN" w:bidi="ar-SA"/>
              </w:rPr>
              <w:t>，</w:t>
            </w:r>
            <w:bookmarkStart w:id="33" w:name="OLE_LINK62"/>
            <w:r>
              <w:rPr>
                <w:rFonts w:hint="eastAsia" w:ascii="仿宋_GB2312" w:hAnsi="仿宋_GB2312" w:eastAsia="仿宋_GB2312" w:cs="仿宋_GB2312"/>
                <w:b/>
                <w:bCs/>
                <w:color w:val="auto"/>
                <w:kern w:val="0"/>
                <w:sz w:val="28"/>
                <w:szCs w:val="28"/>
                <w:highlight w:val="none"/>
                <w:lang w:val="en-US" w:eastAsia="zh-CN" w:bidi="ar-SA"/>
              </w:rPr>
              <w:t>如</w:t>
            </w:r>
            <w:bookmarkEnd w:id="32"/>
            <w:r>
              <w:rPr>
                <w:rFonts w:hint="eastAsia" w:ascii="仿宋_GB2312" w:hAnsi="仿宋_GB2312" w:eastAsia="仿宋_GB2312" w:cs="仿宋_GB2312"/>
                <w:b/>
                <w:bCs/>
                <w:color w:val="auto"/>
                <w:kern w:val="0"/>
                <w:sz w:val="28"/>
                <w:szCs w:val="28"/>
                <w:highlight w:val="none"/>
                <w:lang w:val="en-US" w:eastAsia="zh-CN" w:bidi="ar-SA"/>
              </w:rPr>
              <w:t>果有不同意上述签约合同原则的</w:t>
            </w:r>
            <w:r>
              <w:rPr>
                <w:rFonts w:hint="eastAsia" w:cs="仿宋_GB2312"/>
                <w:b/>
                <w:bCs/>
                <w:color w:val="auto"/>
                <w:kern w:val="0"/>
                <w:sz w:val="28"/>
                <w:szCs w:val="28"/>
                <w:highlight w:val="none"/>
                <w:lang w:val="en-US" w:eastAsia="zh-CN" w:bidi="ar-SA"/>
              </w:rPr>
              <w:t>，</w:t>
            </w:r>
            <w:r>
              <w:rPr>
                <w:rFonts w:hint="eastAsia" w:ascii="仿宋_GB2312" w:hAnsi="仿宋_GB2312" w:eastAsia="仿宋_GB2312" w:cs="仿宋_GB2312"/>
                <w:b/>
                <w:bCs/>
                <w:color w:val="auto"/>
                <w:kern w:val="0"/>
                <w:sz w:val="28"/>
                <w:szCs w:val="28"/>
                <w:highlight w:val="none"/>
                <w:lang w:val="en-US" w:eastAsia="zh-CN" w:bidi="ar-SA"/>
              </w:rPr>
              <w:t>中标人将从后序排名的投标单位中递补。</w:t>
            </w:r>
            <w:bookmarkEnd w:id="33"/>
          </w:p>
        </w:tc>
      </w:tr>
      <w:tr w14:paraId="5289B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14:paraId="63385F02">
            <w:pPr>
              <w:pStyle w:val="15"/>
              <w:rPr>
                <w:color w:val="auto"/>
                <w:highlight w:val="none"/>
              </w:rPr>
            </w:pPr>
            <w:r>
              <w:rPr>
                <w:rFonts w:hint="eastAsia"/>
                <w:color w:val="auto"/>
                <w:highlight w:val="none"/>
              </w:rPr>
              <w:t>甲供材料</w:t>
            </w:r>
          </w:p>
        </w:tc>
        <w:tc>
          <w:tcPr>
            <w:tcW w:w="7144" w:type="dxa"/>
            <w:vAlign w:val="center"/>
          </w:tcPr>
          <w:p w14:paraId="6EF1BB68">
            <w:pPr>
              <w:pStyle w:val="15"/>
              <w:jc w:val="left"/>
              <w:rPr>
                <w:rFonts w:ascii="仿宋" w:hAnsi="仿宋" w:eastAsia="仿宋" w:cs="仿宋"/>
                <w:color w:val="auto"/>
                <w:sz w:val="24"/>
                <w:highlight w:val="none"/>
                <w:lang w:bidi="ar"/>
              </w:rPr>
            </w:pPr>
            <w:sdt>
              <w:sdtPr>
                <w:rPr>
                  <w:rFonts w:hint="eastAsia"/>
                  <w:color w:val="auto"/>
                  <w:highlight w:val="none"/>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color w:val="auto"/>
                  <w:highlight w:val="none"/>
                </w:rPr>
              </w:sdtEndPr>
              <w:sdtContent>
                <w:r>
                  <w:rPr>
                    <w:rFonts w:hint="eastAsia"/>
                    <w:color w:val="auto"/>
                    <w:highlight w:val="none"/>
                  </w:rPr>
                  <w:t>/</w:t>
                </w:r>
              </w:sdtContent>
            </w:sdt>
            <w:r>
              <w:rPr>
                <w:rFonts w:hint="eastAsia"/>
                <w:color w:val="auto"/>
                <w:highlight w:val="none"/>
              </w:rPr>
              <w:t xml:space="preserve"> </w:t>
            </w:r>
          </w:p>
          <w:p w14:paraId="56E45DF4">
            <w:pPr>
              <w:pStyle w:val="15"/>
              <w:jc w:val="left"/>
              <w:rPr>
                <w:color w:val="auto"/>
                <w:highlight w:val="none"/>
              </w:rPr>
            </w:pPr>
            <w:r>
              <w:rPr>
                <w:rFonts w:hint="eastAsia"/>
                <w:color w:val="auto"/>
                <w:highlight w:val="none"/>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14:paraId="43CAF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14:paraId="7FAC035A">
            <w:pPr>
              <w:pStyle w:val="15"/>
              <w:rPr>
                <w:color w:val="auto"/>
                <w:highlight w:val="none"/>
              </w:rPr>
            </w:pPr>
            <w:r>
              <w:rPr>
                <w:rFonts w:hint="eastAsia"/>
                <w:color w:val="auto"/>
                <w:highlight w:val="none"/>
              </w:rPr>
              <w:t>质量目标</w:t>
            </w:r>
          </w:p>
        </w:tc>
        <w:tc>
          <w:tcPr>
            <w:tcW w:w="7144" w:type="dxa"/>
            <w:vAlign w:val="center"/>
          </w:tcPr>
          <w:p w14:paraId="74CD8049">
            <w:pPr>
              <w:pStyle w:val="15"/>
              <w:rPr>
                <w:color w:val="auto"/>
                <w:highlight w:val="none"/>
              </w:rPr>
            </w:pPr>
            <w:r>
              <w:rPr>
                <w:rFonts w:hint="eastAsia"/>
                <w:color w:val="auto"/>
                <w:highlight w:val="none"/>
              </w:rPr>
              <w:sym w:font="Wingdings" w:char="00FE"/>
            </w:r>
            <w:r>
              <w:rPr>
                <w:rFonts w:hint="eastAsia"/>
                <w:color w:val="auto"/>
                <w:highlight w:val="none"/>
              </w:rPr>
              <w:t xml:space="preserve">合格  </w:t>
            </w:r>
            <w:r>
              <w:rPr>
                <w:rFonts w:hint="eastAsia"/>
                <w:color w:val="auto"/>
                <w:highlight w:val="none"/>
              </w:rPr>
              <w:sym w:font="Wingdings" w:char="00A8"/>
            </w:r>
            <w:r>
              <w:rPr>
                <w:rFonts w:hint="eastAsia"/>
                <w:color w:val="auto"/>
                <w:highlight w:val="none"/>
              </w:rPr>
              <w:t xml:space="preserve">区标化  </w:t>
            </w:r>
            <w:r>
              <w:rPr>
                <w:rFonts w:hint="eastAsia"/>
                <w:color w:val="auto"/>
                <w:highlight w:val="none"/>
              </w:rPr>
              <w:sym w:font="Wingdings" w:char="00A8"/>
            </w:r>
            <w:r>
              <w:rPr>
                <w:rFonts w:hint="eastAsia"/>
                <w:color w:val="auto"/>
                <w:highlight w:val="none"/>
              </w:rPr>
              <w:t xml:space="preserve">市标化  </w:t>
            </w:r>
            <w:r>
              <w:rPr>
                <w:rFonts w:hint="eastAsia"/>
                <w:color w:val="auto"/>
                <w:highlight w:val="none"/>
              </w:rPr>
              <w:sym w:font="Wingdings" w:char="00A8"/>
            </w:r>
            <w:r>
              <w:rPr>
                <w:rFonts w:hint="eastAsia"/>
                <w:color w:val="auto"/>
                <w:highlight w:val="none"/>
              </w:rPr>
              <w:t xml:space="preserve">金象杯  </w:t>
            </w:r>
            <w:r>
              <w:rPr>
                <w:rFonts w:hint="eastAsia"/>
                <w:color w:val="auto"/>
                <w:highlight w:val="none"/>
              </w:rPr>
              <w:sym w:font="Wingdings" w:char="00A8"/>
            </w:r>
            <w:r>
              <w:rPr>
                <w:rFonts w:hint="eastAsia"/>
                <w:color w:val="auto"/>
                <w:highlight w:val="none"/>
              </w:rPr>
              <w:t>飞英杯</w:t>
            </w:r>
          </w:p>
        </w:tc>
      </w:tr>
      <w:tr w14:paraId="19615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14:paraId="6F0A62D2">
            <w:pPr>
              <w:pStyle w:val="15"/>
              <w:rPr>
                <w:color w:val="auto"/>
                <w:highlight w:val="none"/>
              </w:rPr>
            </w:pPr>
            <w:r>
              <w:rPr>
                <w:rFonts w:hint="eastAsia"/>
                <w:color w:val="auto"/>
                <w:highlight w:val="none"/>
              </w:rPr>
              <w:t>安全目标</w:t>
            </w:r>
          </w:p>
        </w:tc>
        <w:tc>
          <w:tcPr>
            <w:tcW w:w="7144" w:type="dxa"/>
            <w:vAlign w:val="center"/>
          </w:tcPr>
          <w:p w14:paraId="029EF1EA">
            <w:pPr>
              <w:pStyle w:val="15"/>
              <w:rPr>
                <w:color w:val="auto"/>
                <w:highlight w:val="none"/>
              </w:rPr>
            </w:pPr>
            <w:r>
              <w:rPr>
                <w:rFonts w:hint="eastAsia"/>
                <w:color w:val="auto"/>
                <w:highlight w:val="none"/>
              </w:rPr>
              <w:t>安全无事故</w:t>
            </w:r>
          </w:p>
        </w:tc>
      </w:tr>
      <w:tr w14:paraId="69F92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14:paraId="749CBB86">
            <w:pPr>
              <w:pStyle w:val="15"/>
              <w:rPr>
                <w:color w:val="auto"/>
                <w:highlight w:val="none"/>
              </w:rPr>
            </w:pPr>
            <w:r>
              <w:rPr>
                <w:rFonts w:hint="eastAsia"/>
                <w:color w:val="auto"/>
                <w:highlight w:val="none"/>
              </w:rPr>
              <w:t>履约保证金</w:t>
            </w:r>
          </w:p>
        </w:tc>
        <w:tc>
          <w:tcPr>
            <w:tcW w:w="7144" w:type="dxa"/>
            <w:vAlign w:val="center"/>
          </w:tcPr>
          <w:p w14:paraId="00D8BC7E">
            <w:pPr>
              <w:pStyle w:val="15"/>
              <w:rPr>
                <w:color w:val="auto"/>
                <w:highlight w:val="none"/>
              </w:rPr>
            </w:pPr>
            <w:r>
              <w:rPr>
                <w:rFonts w:hint="eastAsia"/>
                <w:color w:val="auto"/>
                <w:highlight w:val="none"/>
              </w:rPr>
              <w:t>无</w:t>
            </w:r>
          </w:p>
        </w:tc>
      </w:tr>
      <w:tr w14:paraId="5F261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14:paraId="07D6BF31">
            <w:pPr>
              <w:pStyle w:val="15"/>
              <w:rPr>
                <w:color w:val="auto"/>
                <w:highlight w:val="none"/>
              </w:rPr>
            </w:pPr>
            <w:r>
              <w:rPr>
                <w:rFonts w:hint="eastAsia"/>
                <w:color w:val="auto"/>
                <w:highlight w:val="none"/>
              </w:rPr>
              <w:t>预付款</w:t>
            </w:r>
          </w:p>
        </w:tc>
        <w:tc>
          <w:tcPr>
            <w:tcW w:w="7144" w:type="dxa"/>
            <w:vAlign w:val="center"/>
          </w:tcPr>
          <w:p w14:paraId="057718E2">
            <w:pPr>
              <w:pStyle w:val="15"/>
              <w:rPr>
                <w:color w:val="auto"/>
                <w:highlight w:val="none"/>
              </w:rPr>
            </w:pPr>
            <w:r>
              <w:rPr>
                <w:rFonts w:hint="eastAsia"/>
                <w:color w:val="auto"/>
                <w:highlight w:val="none"/>
              </w:rPr>
              <w:t>无</w:t>
            </w:r>
          </w:p>
        </w:tc>
      </w:tr>
      <w:tr w14:paraId="50388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vAlign w:val="center"/>
          </w:tcPr>
          <w:p w14:paraId="46312A3B">
            <w:pPr>
              <w:pStyle w:val="15"/>
              <w:rPr>
                <w:color w:val="auto"/>
                <w:highlight w:val="none"/>
              </w:rPr>
            </w:pPr>
            <w:r>
              <w:rPr>
                <w:rFonts w:hint="eastAsia"/>
                <w:color w:val="auto"/>
                <w:highlight w:val="none"/>
              </w:rPr>
              <w:t>付款方式</w:t>
            </w:r>
          </w:p>
        </w:tc>
        <w:tc>
          <w:tcPr>
            <w:tcW w:w="7144" w:type="dxa"/>
            <w:vAlign w:val="center"/>
          </w:tcPr>
          <w:p w14:paraId="616A4F7E">
            <w:pPr>
              <w:keepNext w:val="0"/>
              <w:keepLines w:val="0"/>
              <w:pageBreakBefore w:val="0"/>
              <w:numPr>
                <w:ilvl w:val="0"/>
                <w:numId w:val="0"/>
              </w:numPr>
              <w:shd w:val="clear"/>
              <w:kinsoku/>
              <w:wordWrap/>
              <w:overflowPunct/>
              <w:topLinePunct w:val="0"/>
              <w:autoSpaceDE w:val="0"/>
              <w:autoSpaceDN w:val="0"/>
              <w:bidi w:val="0"/>
              <w:adjustRightInd w:val="0"/>
              <w:snapToGrid/>
              <w:spacing w:line="520" w:lineRule="exact"/>
              <w:jc w:val="left"/>
              <w:textAlignment w:val="auto"/>
              <w:rPr>
                <w:color w:val="auto"/>
                <w:highlight w:val="none"/>
              </w:rPr>
            </w:pPr>
            <w:bookmarkStart w:id="34" w:name="OLE_LINK70"/>
            <w:bookmarkStart w:id="35" w:name="OLE_LINK60"/>
            <w:bookmarkStart w:id="36" w:name="OLE_LINK45"/>
            <w:bookmarkStart w:id="37" w:name="OLE_LINK99"/>
            <w:r>
              <w:rPr>
                <w:rFonts w:hint="eastAsia" w:ascii="仿宋_GB2312" w:hAnsi="仿宋_GB2312" w:eastAsia="仿宋_GB2312" w:cs="仿宋_GB2312"/>
                <w:color w:val="auto"/>
                <w:sz w:val="28"/>
                <w:szCs w:val="28"/>
                <w:highlight w:val="none"/>
                <w:lang w:val="zh-CN" w:eastAsia="zh-CN"/>
              </w:rPr>
              <w:t>运营养护管理费</w:t>
            </w:r>
            <w:bookmarkEnd w:id="34"/>
            <w:bookmarkStart w:id="38" w:name="OLE_LINK48"/>
            <w:bookmarkStart w:id="39" w:name="OLE_LINK49"/>
            <w:r>
              <w:rPr>
                <w:rFonts w:hint="eastAsia" w:ascii="仿宋_GB2312" w:hAnsi="仿宋_GB2312" w:eastAsia="仿宋_GB2312" w:cs="仿宋_GB2312"/>
                <w:color w:val="auto"/>
                <w:sz w:val="28"/>
                <w:szCs w:val="28"/>
                <w:highlight w:val="none"/>
                <w:lang w:val="zh-CN"/>
              </w:rPr>
              <w:t>年终根</w:t>
            </w:r>
            <w:bookmarkEnd w:id="38"/>
            <w:r>
              <w:rPr>
                <w:rFonts w:hint="eastAsia" w:ascii="仿宋_GB2312" w:hAnsi="仿宋_GB2312" w:eastAsia="仿宋_GB2312" w:cs="仿宋_GB2312"/>
                <w:color w:val="auto"/>
                <w:sz w:val="28"/>
                <w:szCs w:val="28"/>
                <w:highlight w:val="none"/>
                <w:lang w:val="zh-CN"/>
              </w:rPr>
              <w:t>据</w:t>
            </w:r>
            <w:bookmarkEnd w:id="39"/>
            <w:r>
              <w:rPr>
                <w:rFonts w:hint="eastAsia" w:ascii="仿宋_GB2312" w:hAnsi="仿宋_GB2312" w:eastAsia="仿宋_GB2312" w:cs="仿宋_GB2312"/>
                <w:color w:val="auto"/>
                <w:sz w:val="28"/>
                <w:szCs w:val="28"/>
                <w:highlight w:val="none"/>
                <w:lang w:val="zh-CN"/>
              </w:rPr>
              <w:t>考核结果及收到业主款项后根据结算方式支付</w:t>
            </w:r>
            <w:bookmarkEnd w:id="35"/>
            <w:bookmarkEnd w:id="36"/>
            <w:r>
              <w:rPr>
                <w:rFonts w:hint="eastAsia" w:ascii="仿宋_GB2312" w:hAnsi="仿宋_GB2312" w:eastAsia="仿宋_GB2312" w:cs="仿宋_GB2312"/>
                <w:color w:val="auto"/>
                <w:sz w:val="28"/>
                <w:szCs w:val="28"/>
                <w:highlight w:val="none"/>
                <w:lang w:val="zh-CN"/>
              </w:rPr>
              <w:t>。中标人在向甲方结算时出具有效增值税专用发票，增值税税率：</w:t>
            </w:r>
            <w:r>
              <w:rPr>
                <w:rFonts w:hint="eastAsia" w:ascii="仿宋_GB2312" w:hAnsi="仿宋_GB2312" w:eastAsia="仿宋_GB2312" w:cs="仿宋_GB2312"/>
                <w:color w:val="auto"/>
                <w:sz w:val="28"/>
                <w:szCs w:val="28"/>
                <w:highlight w:val="none"/>
                <w:u w:val="none"/>
                <w:lang w:val="zh-CN"/>
              </w:rPr>
              <w:t xml:space="preserve">6 </w:t>
            </w:r>
            <w:r>
              <w:rPr>
                <w:rFonts w:hint="eastAsia" w:ascii="仿宋_GB2312" w:hAnsi="仿宋_GB2312" w:eastAsia="仿宋_GB2312" w:cs="仿宋_GB2312"/>
                <w:color w:val="auto"/>
                <w:sz w:val="28"/>
                <w:szCs w:val="28"/>
                <w:highlight w:val="none"/>
                <w:lang w:val="zh-CN"/>
              </w:rPr>
              <w:t>%</w:t>
            </w:r>
            <w:r>
              <w:rPr>
                <w:rFonts w:hint="eastAsia" w:ascii="仿宋_GB2312" w:hAnsi="仿宋_GB2312" w:eastAsia="仿宋_GB2312" w:cs="仿宋_GB2312"/>
                <w:color w:val="auto"/>
                <w:kern w:val="2"/>
                <w:sz w:val="28"/>
                <w:szCs w:val="28"/>
                <w:highlight w:val="none"/>
                <w:lang w:val="zh-CN" w:eastAsia="zh-CN" w:bidi="ar-SA"/>
              </w:rPr>
              <w:t>。本运营养护管理项目范围内养护用水、用电由</w:t>
            </w:r>
            <w:r>
              <w:rPr>
                <w:rFonts w:hint="eastAsia" w:ascii="仿宋_GB2312" w:hAnsi="仿宋_GB2312" w:eastAsia="仿宋_GB2312" w:cs="仿宋_GB2312"/>
                <w:color w:val="auto"/>
                <w:kern w:val="2"/>
                <w:sz w:val="28"/>
                <w:szCs w:val="28"/>
                <w:highlight w:val="none"/>
                <w:lang w:val="en-US" w:eastAsia="zh-CN" w:bidi="ar-SA"/>
              </w:rPr>
              <w:t>中标人</w:t>
            </w:r>
            <w:r>
              <w:rPr>
                <w:rFonts w:hint="eastAsia" w:ascii="仿宋_GB2312" w:hAnsi="仿宋_GB2312" w:eastAsia="仿宋_GB2312" w:cs="仿宋_GB2312"/>
                <w:color w:val="auto"/>
                <w:kern w:val="2"/>
                <w:sz w:val="28"/>
                <w:szCs w:val="28"/>
                <w:highlight w:val="none"/>
                <w:lang w:val="zh-CN" w:eastAsia="zh-CN" w:bidi="ar-SA"/>
              </w:rPr>
              <w:t>自理并承担费用。运营养护管理范围内路灯、管理用房（厕所）产生的水费、电费由</w:t>
            </w:r>
            <w:r>
              <w:rPr>
                <w:rFonts w:hint="eastAsia" w:ascii="仿宋_GB2312" w:hAnsi="仿宋_GB2312" w:eastAsia="仿宋_GB2312" w:cs="仿宋_GB2312"/>
                <w:color w:val="auto"/>
                <w:kern w:val="2"/>
                <w:sz w:val="28"/>
                <w:szCs w:val="28"/>
                <w:highlight w:val="none"/>
                <w:lang w:val="en-US" w:eastAsia="zh-CN" w:bidi="ar-SA"/>
              </w:rPr>
              <w:t>中标人</w:t>
            </w:r>
            <w:r>
              <w:rPr>
                <w:rFonts w:hint="eastAsia" w:ascii="仿宋_GB2312" w:hAnsi="仿宋_GB2312" w:eastAsia="仿宋_GB2312" w:cs="仿宋_GB2312"/>
                <w:color w:val="auto"/>
                <w:kern w:val="2"/>
                <w:sz w:val="28"/>
                <w:szCs w:val="28"/>
                <w:highlight w:val="none"/>
                <w:lang w:val="zh-CN" w:eastAsia="zh-CN" w:bidi="ar-SA"/>
              </w:rPr>
              <w:t>垫付，</w:t>
            </w:r>
            <w:r>
              <w:rPr>
                <w:rFonts w:hint="eastAsia" w:ascii="仿宋_GB2312" w:hAnsi="仿宋_GB2312" w:eastAsia="仿宋_GB2312" w:cs="仿宋_GB2312"/>
                <w:color w:val="auto"/>
                <w:kern w:val="2"/>
                <w:sz w:val="28"/>
                <w:szCs w:val="28"/>
                <w:highlight w:val="none"/>
                <w:lang w:val="en-US" w:eastAsia="zh-CN" w:bidi="ar-SA"/>
              </w:rPr>
              <w:t>招标人</w:t>
            </w:r>
            <w:r>
              <w:rPr>
                <w:rFonts w:hint="eastAsia" w:ascii="仿宋_GB2312" w:hAnsi="仿宋_GB2312" w:eastAsia="仿宋_GB2312" w:cs="仿宋_GB2312"/>
                <w:color w:val="auto"/>
                <w:kern w:val="2"/>
                <w:sz w:val="28"/>
                <w:szCs w:val="28"/>
                <w:highlight w:val="none"/>
                <w:lang w:val="zh-CN" w:eastAsia="zh-CN" w:bidi="ar-SA"/>
              </w:rPr>
              <w:t>配合办理相关手续，垫付费用经</w:t>
            </w:r>
            <w:r>
              <w:rPr>
                <w:rFonts w:hint="eastAsia" w:ascii="仿宋_GB2312" w:hAnsi="仿宋_GB2312" w:eastAsia="仿宋_GB2312" w:cs="仿宋_GB2312"/>
                <w:color w:val="auto"/>
                <w:kern w:val="2"/>
                <w:sz w:val="28"/>
                <w:szCs w:val="28"/>
                <w:highlight w:val="none"/>
                <w:lang w:val="en-US" w:eastAsia="zh-CN" w:bidi="ar-SA"/>
              </w:rPr>
              <w:t>业主单位、招标人</w:t>
            </w:r>
            <w:r>
              <w:rPr>
                <w:rFonts w:hint="eastAsia" w:ascii="仿宋_GB2312" w:hAnsi="仿宋_GB2312" w:eastAsia="仿宋_GB2312" w:cs="仿宋_GB2312"/>
                <w:color w:val="auto"/>
                <w:kern w:val="2"/>
                <w:sz w:val="28"/>
                <w:szCs w:val="28"/>
                <w:highlight w:val="none"/>
                <w:lang w:val="zh-CN" w:eastAsia="zh-CN" w:bidi="ar-SA"/>
              </w:rPr>
              <w:t>确认后与运营养护管理服务费一并支付。</w:t>
            </w:r>
            <w:bookmarkEnd w:id="37"/>
          </w:p>
        </w:tc>
      </w:tr>
      <w:tr w14:paraId="2217B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vAlign w:val="center"/>
          </w:tcPr>
          <w:p w14:paraId="27EFF965">
            <w:pPr>
              <w:pStyle w:val="15"/>
              <w:rPr>
                <w:color w:val="auto"/>
                <w:highlight w:val="none"/>
              </w:rPr>
            </w:pPr>
            <w:r>
              <w:rPr>
                <w:rFonts w:hint="eastAsia"/>
                <w:color w:val="auto"/>
                <w:highlight w:val="none"/>
              </w:rPr>
              <w:t>结算方式</w:t>
            </w:r>
          </w:p>
        </w:tc>
        <w:tc>
          <w:tcPr>
            <w:tcW w:w="7144" w:type="dxa"/>
            <w:vAlign w:val="center"/>
          </w:tcPr>
          <w:p w14:paraId="2951A52A">
            <w:pPr>
              <w:pStyle w:val="15"/>
              <w:jc w:val="left"/>
              <w:rPr>
                <w:rFonts w:hint="eastAsia" w:ascii="仿宋" w:hAnsi="仿宋" w:eastAsia="仿宋" w:cs="仿宋"/>
                <w:color w:val="000000"/>
                <w:sz w:val="28"/>
                <w:szCs w:val="28"/>
                <w:highlight w:val="none"/>
                <w:lang w:val="en-US" w:eastAsia="zh-CN"/>
              </w:rPr>
            </w:pPr>
            <w:r>
              <w:rPr>
                <w:rFonts w:hint="eastAsia"/>
                <w:color w:val="auto"/>
                <w:highlight w:val="none"/>
                <w:lang w:val="en-US" w:eastAsia="zh-CN"/>
              </w:rPr>
              <w:t>1.</w:t>
            </w:r>
            <w:bookmarkStart w:id="40" w:name="OLE_LINK47"/>
            <w:bookmarkStart w:id="41" w:name="OLE_LINK73"/>
            <w:r>
              <w:rPr>
                <w:rFonts w:hint="eastAsia"/>
                <w:color w:val="auto"/>
                <w:highlight w:val="none"/>
                <w:lang w:val="en-US" w:eastAsia="zh-CN"/>
              </w:rPr>
              <w:t>运营养护管理费</w:t>
            </w:r>
            <w:bookmarkEnd w:id="40"/>
            <w:r>
              <w:rPr>
                <w:rFonts w:hint="eastAsia"/>
                <w:color w:val="auto"/>
                <w:highlight w:val="none"/>
                <w:lang w:val="en-US" w:eastAsia="zh-CN"/>
              </w:rPr>
              <w:t>：合同签约</w:t>
            </w:r>
            <w:r>
              <w:rPr>
                <w:rFonts w:hint="eastAsia" w:ascii="仿宋" w:hAnsi="仿宋" w:eastAsia="仿宋" w:cs="仿宋"/>
                <w:color w:val="000000"/>
                <w:sz w:val="28"/>
                <w:szCs w:val="28"/>
                <w:highlight w:val="none"/>
                <w:lang w:val="en-US" w:eastAsia="zh-CN"/>
              </w:rPr>
              <w:t>养护单价*实际养护面积-其他扣款</w:t>
            </w:r>
            <w:bookmarkEnd w:id="41"/>
            <w:r>
              <w:rPr>
                <w:rFonts w:hint="eastAsia" w:ascii="仿宋" w:hAnsi="仿宋" w:eastAsia="仿宋" w:cs="仿宋"/>
                <w:color w:val="000000"/>
                <w:sz w:val="28"/>
                <w:szCs w:val="28"/>
                <w:highlight w:val="none"/>
                <w:lang w:val="en-US" w:eastAsia="zh-CN"/>
              </w:rPr>
              <w:t>。</w:t>
            </w:r>
          </w:p>
          <w:p w14:paraId="5EB4295F">
            <w:pPr>
              <w:pStyle w:val="15"/>
              <w:jc w:val="left"/>
              <w:rPr>
                <w:rFonts w:hint="eastAsia"/>
                <w:color w:val="auto"/>
                <w:highlight w:val="none"/>
                <w:lang w:val="en-US" w:eastAsia="zh-CN"/>
              </w:rPr>
            </w:pPr>
            <w:r>
              <w:rPr>
                <w:rFonts w:hint="eastAsia" w:cs="仿宋_GB2312"/>
                <w:color w:val="auto"/>
                <w:kern w:val="2"/>
                <w:sz w:val="28"/>
                <w:szCs w:val="28"/>
                <w:highlight w:val="none"/>
                <w:lang w:val="en-US" w:eastAsia="zh-CN" w:bidi="ar-SA"/>
              </w:rPr>
              <w:t>2.</w:t>
            </w:r>
            <w:bookmarkStart w:id="42" w:name="OLE_LINK50"/>
            <w:bookmarkStart w:id="43" w:name="OLE_LINK75"/>
            <w:r>
              <w:rPr>
                <w:rFonts w:hint="eastAsia" w:ascii="仿宋_GB2312" w:hAnsi="仿宋_GB2312" w:eastAsia="仿宋_GB2312" w:cs="仿宋_GB2312"/>
                <w:color w:val="auto"/>
                <w:kern w:val="0"/>
                <w:sz w:val="28"/>
                <w:szCs w:val="28"/>
                <w:highlight w:val="none"/>
                <w:lang w:val="en-US" w:eastAsia="zh-CN" w:bidi="ar-SA"/>
              </w:rPr>
              <w:t>安全应急处置费</w:t>
            </w:r>
            <w:bookmarkEnd w:id="42"/>
            <w:r>
              <w:rPr>
                <w:rFonts w:hint="eastAsia" w:ascii="仿宋_GB2312" w:hAnsi="仿宋_GB2312" w:eastAsia="仿宋_GB2312" w:cs="仿宋_GB2312"/>
                <w:color w:val="auto"/>
                <w:kern w:val="2"/>
                <w:sz w:val="28"/>
                <w:szCs w:val="28"/>
                <w:highlight w:val="none"/>
                <w:lang w:val="en-US" w:eastAsia="zh-CN" w:bidi="ar-SA"/>
              </w:rPr>
              <w:t>为</w:t>
            </w:r>
            <w:r>
              <w:rPr>
                <w:rFonts w:hint="eastAsia" w:ascii="仿宋_GB2312" w:hAnsi="仿宋_GB2312" w:eastAsia="仿宋_GB2312" w:cs="仿宋_GB2312"/>
                <w:sz w:val="28"/>
                <w:szCs w:val="28"/>
                <w:highlight w:val="none"/>
              </w:rPr>
              <w:t>业主单位确认的结算审计价</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中标下浮率</w:t>
            </w:r>
            <w:r>
              <w:rPr>
                <w:rFonts w:hint="eastAsia" w:ascii="仿宋_GB2312" w:hAnsi="仿宋_GB2312" w:eastAsia="仿宋_GB2312" w:cs="仿宋_GB2312"/>
                <w:color w:val="auto"/>
                <w:sz w:val="28"/>
                <w:szCs w:val="28"/>
                <w:highlight w:val="none"/>
              </w:rPr>
              <w:t>）-其他扣款</w:t>
            </w:r>
            <w:r>
              <w:rPr>
                <w:rFonts w:hint="eastAsia" w:cs="仿宋_GB2312"/>
                <w:color w:val="auto"/>
                <w:kern w:val="2"/>
                <w:sz w:val="28"/>
                <w:szCs w:val="28"/>
                <w:highlight w:val="none"/>
                <w:lang w:val="zh-CN" w:eastAsia="zh-CN" w:bidi="ar-SA"/>
              </w:rPr>
              <w:t>。</w:t>
            </w:r>
            <w:bookmarkStart w:id="44" w:name="OLE_LINK51"/>
            <w:r>
              <w:rPr>
                <w:rFonts w:hint="eastAsia" w:ascii="仿宋" w:hAnsi="仿宋" w:eastAsia="仿宋" w:cs="仿宋"/>
                <w:color w:val="auto"/>
                <w:kern w:val="0"/>
                <w:sz w:val="28"/>
                <w:szCs w:val="28"/>
                <w:highlight w:val="none"/>
                <w:lang w:val="en-US" w:eastAsia="zh-CN" w:bidi="ar-SA"/>
              </w:rPr>
              <w:t>安全应急处置费</w:t>
            </w:r>
            <w:bookmarkEnd w:id="44"/>
            <w:bookmarkStart w:id="45" w:name="OLE_LINK52"/>
            <w:r>
              <w:rPr>
                <w:rFonts w:hint="eastAsia" w:ascii="仿宋" w:hAnsi="仿宋" w:eastAsia="仿宋" w:cs="仿宋"/>
                <w:szCs w:val="24"/>
                <w:highlight w:val="none"/>
              </w:rPr>
              <w:t>按实际发生有</w:t>
            </w:r>
            <w:r>
              <w:rPr>
                <w:rFonts w:hint="eastAsia" w:ascii="仿宋" w:hAnsi="仿宋" w:eastAsia="仿宋" w:cs="仿宋"/>
                <w:szCs w:val="24"/>
                <w:highlight w:val="none"/>
                <w:lang w:val="en-US" w:eastAsia="zh-CN"/>
              </w:rPr>
              <w:t>业主单位</w:t>
            </w:r>
            <w:r>
              <w:rPr>
                <w:rFonts w:hint="eastAsia" w:ascii="仿宋" w:hAnsi="仿宋" w:eastAsia="仿宋" w:cs="仿宋"/>
                <w:szCs w:val="24"/>
                <w:highlight w:val="none"/>
              </w:rPr>
              <w:t>复核签证进行结算</w:t>
            </w:r>
            <w:bookmarkEnd w:id="45"/>
            <w:r>
              <w:rPr>
                <w:rFonts w:hint="eastAsia" w:ascii="仿宋" w:hAnsi="仿宋" w:eastAsia="仿宋" w:cs="仿宋"/>
                <w:szCs w:val="24"/>
                <w:highlight w:val="none"/>
                <w:lang w:val="en-US" w:eastAsia="zh-CN"/>
              </w:rPr>
              <w:t>。</w:t>
            </w:r>
            <w:bookmarkEnd w:id="43"/>
          </w:p>
          <w:p w14:paraId="4AD50029">
            <w:pPr>
              <w:pStyle w:val="15"/>
              <w:jc w:val="left"/>
              <w:rPr>
                <w:rFonts w:hint="eastAsia"/>
                <w:color w:val="auto"/>
                <w:highlight w:val="none"/>
                <w:lang w:val="en-US" w:eastAsia="zh-CN"/>
              </w:rPr>
            </w:pPr>
            <w:bookmarkStart w:id="46" w:name="OLE_LINK71"/>
            <w:bookmarkStart w:id="47" w:name="OLE_LINK67"/>
            <w:r>
              <w:rPr>
                <w:rFonts w:hint="eastAsia"/>
                <w:color w:val="auto"/>
                <w:highlight w:val="none"/>
                <w:lang w:val="en-US" w:eastAsia="zh-CN"/>
              </w:rPr>
              <w:t>3.中标人在</w:t>
            </w:r>
            <w:r>
              <w:rPr>
                <w:rFonts w:hint="eastAsia"/>
                <w:color w:val="auto"/>
                <w:highlight w:val="none"/>
                <w:lang w:val="en-US" w:eastAsia="zh-Hans"/>
              </w:rPr>
              <w:t>养护费用</w:t>
            </w:r>
            <w:r>
              <w:rPr>
                <w:rFonts w:hint="eastAsia"/>
                <w:color w:val="auto"/>
                <w:highlight w:val="none"/>
                <w:lang w:val="zh-CN" w:eastAsia="zh-CN"/>
              </w:rPr>
              <w:t>结清前提供</w:t>
            </w:r>
            <w:r>
              <w:rPr>
                <w:rFonts w:hint="eastAsia"/>
                <w:color w:val="auto"/>
                <w:highlight w:val="none"/>
                <w:lang w:val="en-US" w:eastAsia="zh-CN"/>
              </w:rPr>
              <w:t>应付</w:t>
            </w:r>
            <w:r>
              <w:rPr>
                <w:rFonts w:hint="eastAsia"/>
                <w:color w:val="auto"/>
                <w:highlight w:val="none"/>
                <w:lang w:val="en-US" w:eastAsia="zh-Hans"/>
              </w:rPr>
              <w:t>款项</w:t>
            </w:r>
            <w:r>
              <w:rPr>
                <w:rFonts w:hint="eastAsia"/>
                <w:color w:val="auto"/>
                <w:highlight w:val="none"/>
                <w:lang w:val="en-US" w:eastAsia="zh-CN"/>
              </w:rPr>
              <w:t>足额的6%增值税税额专用发票，不足部分从应付工程款中进行扣除。</w:t>
            </w:r>
            <w:bookmarkEnd w:id="46"/>
          </w:p>
          <w:bookmarkEnd w:id="47"/>
          <w:p w14:paraId="073B99B5">
            <w:pPr>
              <w:pStyle w:val="15"/>
              <w:jc w:val="left"/>
              <w:rPr>
                <w:color w:val="auto"/>
                <w:highlight w:val="none"/>
              </w:rPr>
            </w:pPr>
            <w:r>
              <w:rPr>
                <w:rFonts w:hint="eastAsia"/>
                <w:color w:val="auto"/>
                <w:highlight w:val="none"/>
                <w:lang w:val="en-US" w:eastAsia="zh-CN"/>
              </w:rPr>
              <w:t>4</w:t>
            </w:r>
            <w:r>
              <w:rPr>
                <w:color w:val="auto"/>
                <w:highlight w:val="none"/>
              </w:rPr>
              <w:t>、如招标人与业主单位发生争议的，招标人据此产生的诉讼费、律师费、财产保全需要购买保单的保险费等均由</w:t>
            </w:r>
            <w:r>
              <w:rPr>
                <w:rFonts w:hint="eastAsia"/>
                <w:color w:val="auto"/>
                <w:highlight w:val="none"/>
              </w:rPr>
              <w:t>中标人</w:t>
            </w:r>
            <w:r>
              <w:rPr>
                <w:color w:val="auto"/>
                <w:highlight w:val="none"/>
              </w:rPr>
              <w:t>承担，并直接从应支付给</w:t>
            </w:r>
            <w:r>
              <w:rPr>
                <w:rFonts w:hint="eastAsia"/>
                <w:color w:val="auto"/>
                <w:highlight w:val="none"/>
              </w:rPr>
              <w:t>中标人</w:t>
            </w:r>
            <w:r>
              <w:rPr>
                <w:color w:val="auto"/>
                <w:highlight w:val="none"/>
              </w:rPr>
              <w:t>的款项中扣除</w:t>
            </w:r>
            <w:r>
              <w:rPr>
                <w:rFonts w:hint="eastAsia"/>
                <w:color w:val="auto"/>
                <w:highlight w:val="none"/>
              </w:rPr>
              <w:t>。</w:t>
            </w:r>
          </w:p>
        </w:tc>
      </w:tr>
    </w:tbl>
    <w:p w14:paraId="255B4BB7">
      <w:pPr>
        <w:pStyle w:val="15"/>
        <w:jc w:val="left"/>
        <w:rPr>
          <w:color w:val="auto"/>
          <w:highlight w:val="none"/>
        </w:rPr>
      </w:pPr>
      <w:r>
        <w:rPr>
          <w:rFonts w:hint="eastAsia"/>
          <w:color w:val="auto"/>
          <w:highlight w:val="none"/>
        </w:rPr>
        <w:t>二、投标人资格及商务条件</w:t>
      </w:r>
    </w:p>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14:paraId="492F5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vAlign w:val="center"/>
          </w:tcPr>
          <w:p w14:paraId="32FC593C">
            <w:pPr>
              <w:pStyle w:val="15"/>
              <w:rPr>
                <w:color w:val="auto"/>
                <w:highlight w:val="none"/>
              </w:rPr>
            </w:pPr>
            <w:r>
              <w:rPr>
                <w:rFonts w:hint="eastAsia"/>
                <w:color w:val="auto"/>
                <w:highlight w:val="none"/>
              </w:rPr>
              <w:t>类别</w:t>
            </w:r>
          </w:p>
        </w:tc>
        <w:tc>
          <w:tcPr>
            <w:tcW w:w="4019" w:type="pct"/>
            <w:vAlign w:val="center"/>
          </w:tcPr>
          <w:p w14:paraId="0E19C118">
            <w:pPr>
              <w:pStyle w:val="15"/>
              <w:rPr>
                <w:color w:val="auto"/>
                <w:highlight w:val="none"/>
                <w:u w:val="single"/>
              </w:rPr>
            </w:pPr>
            <w:r>
              <w:rPr>
                <w:rFonts w:hint="eastAsia"/>
                <w:color w:val="auto"/>
                <w:highlight w:val="none"/>
              </w:rPr>
              <w:t>要求</w:t>
            </w:r>
          </w:p>
        </w:tc>
      </w:tr>
      <w:tr w14:paraId="1735E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vAlign w:val="center"/>
          </w:tcPr>
          <w:p w14:paraId="41C7826A">
            <w:pPr>
              <w:pStyle w:val="15"/>
              <w:rPr>
                <w:color w:val="auto"/>
                <w:highlight w:val="none"/>
              </w:rPr>
            </w:pPr>
            <w:r>
              <w:rPr>
                <w:rFonts w:hint="eastAsia"/>
                <w:color w:val="auto"/>
                <w:highlight w:val="none"/>
              </w:rPr>
              <w:t>投标人资格</w:t>
            </w:r>
          </w:p>
        </w:tc>
        <w:tc>
          <w:tcPr>
            <w:tcW w:w="4019" w:type="pct"/>
            <w:vAlign w:val="center"/>
          </w:tcPr>
          <w:p w14:paraId="0F64096E">
            <w:pPr>
              <w:pStyle w:val="15"/>
              <w:jc w:val="left"/>
              <w:rPr>
                <w:color w:val="auto"/>
                <w:highlight w:val="none"/>
              </w:rPr>
            </w:pPr>
            <w:bookmarkStart w:id="48" w:name="OLE_LINK61"/>
            <w:r>
              <w:rPr>
                <w:rFonts w:hint="eastAsia"/>
                <w:color w:val="auto"/>
                <w:highlight w:val="none"/>
              </w:rPr>
              <w:sym w:font="Wingdings" w:char="00FE"/>
            </w:r>
            <w:r>
              <w:rPr>
                <w:rFonts w:hint="eastAsia"/>
                <w:color w:val="auto"/>
                <w:highlight w:val="none"/>
              </w:rPr>
              <w:t xml:space="preserve"> 招标人</w:t>
            </w:r>
            <w:r>
              <w:rPr>
                <w:rFonts w:hint="eastAsia"/>
                <w:color w:val="auto"/>
                <w:highlight w:val="none"/>
                <w:u w:val="single"/>
              </w:rPr>
              <w:t xml:space="preserve"> </w:t>
            </w:r>
            <w:r>
              <w:rPr>
                <w:rFonts w:hint="eastAsia"/>
                <w:color w:val="auto"/>
                <w:highlight w:val="none"/>
                <w:u w:val="single"/>
                <w:lang w:val="en-US" w:eastAsia="zh-CN"/>
              </w:rPr>
              <w:t>绿化劳务</w:t>
            </w:r>
            <w:r>
              <w:rPr>
                <w:rFonts w:hint="eastAsia"/>
                <w:color w:val="auto"/>
                <w:highlight w:val="none"/>
                <w:u w:val="single"/>
              </w:rPr>
              <w:t xml:space="preserve"> </w:t>
            </w:r>
            <w:r>
              <w:rPr>
                <w:rFonts w:hint="eastAsia"/>
                <w:color w:val="auto"/>
                <w:highlight w:val="none"/>
              </w:rPr>
              <w:t>分包库内单位。</w:t>
            </w:r>
          </w:p>
          <w:p w14:paraId="6248467B">
            <w:pPr>
              <w:pStyle w:val="15"/>
              <w:jc w:val="left"/>
              <w:rPr>
                <w:color w:val="auto"/>
                <w:highlight w:val="none"/>
              </w:rPr>
            </w:pPr>
            <w:r>
              <w:rPr>
                <w:rFonts w:hint="eastAsia"/>
                <w:color w:val="auto"/>
                <w:highlight w:val="none"/>
              </w:rPr>
              <w:sym w:font="Wingdings" w:char="00FE"/>
            </w:r>
            <w:bookmarkStart w:id="49" w:name="OLE_LINK97"/>
            <w:r>
              <w:rPr>
                <w:rFonts w:hint="eastAsia"/>
                <w:color w:val="auto"/>
                <w:highlight w:val="none"/>
              </w:rPr>
              <w:t>具</w:t>
            </w:r>
            <w:r>
              <w:rPr>
                <w:rFonts w:hint="eastAsia"/>
                <w:color w:val="auto"/>
                <w:highlight w:val="none"/>
                <w:lang w:val="en-US" w:eastAsia="zh-CN"/>
              </w:rPr>
              <w:t>有</w:t>
            </w:r>
            <w:bookmarkStart w:id="50" w:name="OLE_LINK69"/>
            <w:r>
              <w:rPr>
                <w:rFonts w:hint="eastAsia"/>
                <w:color w:val="auto"/>
                <w:highlight w:val="none"/>
                <w:u w:val="single"/>
                <w:lang w:val="en-US" w:eastAsia="zh-CN"/>
              </w:rPr>
              <w:t>独立法人资格，营业执照经营范围具有园林绿化相关内容（属于区政府扶持的强村公司）</w:t>
            </w:r>
            <w:bookmarkEnd w:id="49"/>
            <w:bookmarkEnd w:id="50"/>
            <w:r>
              <w:rPr>
                <w:rFonts w:hint="eastAsia"/>
                <w:color w:val="auto"/>
                <w:highlight w:val="none"/>
                <w:lang w:val="en-US" w:eastAsia="zh-CN"/>
              </w:rPr>
              <w:t>。</w:t>
            </w:r>
          </w:p>
          <w:p w14:paraId="06738070">
            <w:pPr>
              <w:pStyle w:val="15"/>
              <w:jc w:val="left"/>
              <w:rPr>
                <w:rFonts w:hint="eastAsia" w:eastAsia="仿宋_GB2312"/>
                <w:color w:val="auto"/>
                <w:highlight w:val="none"/>
                <w:lang w:eastAsia="zh-CN"/>
              </w:rPr>
            </w:pPr>
            <w:r>
              <w:rPr>
                <w:rFonts w:hint="eastAsia"/>
                <w:color w:val="auto"/>
                <w:highlight w:val="none"/>
              </w:rPr>
              <w:t>备注：二</w:t>
            </w:r>
            <w:r>
              <w:rPr>
                <w:rFonts w:hint="eastAsia"/>
                <w:color w:val="auto"/>
                <w:highlight w:val="none"/>
                <w:lang w:val="en-US" w:eastAsia="zh-CN"/>
              </w:rPr>
              <w:t>者</w:t>
            </w:r>
            <w:r>
              <w:rPr>
                <w:rFonts w:hint="eastAsia"/>
                <w:color w:val="auto"/>
                <w:highlight w:val="none"/>
              </w:rPr>
              <w:t>满足其一即可</w:t>
            </w:r>
            <w:r>
              <w:rPr>
                <w:rFonts w:hint="eastAsia"/>
                <w:color w:val="auto"/>
                <w:highlight w:val="none"/>
                <w:lang w:eastAsia="zh-CN"/>
              </w:rPr>
              <w:t>；</w:t>
            </w:r>
          </w:p>
          <w:p w14:paraId="1AA3D8BF">
            <w:pPr>
              <w:pStyle w:val="15"/>
              <w:jc w:val="left"/>
              <w:rPr>
                <w:color w:val="auto"/>
                <w:highlight w:val="none"/>
                <w:u w:val="single"/>
              </w:rPr>
            </w:pPr>
            <w:bookmarkStart w:id="51" w:name="OLE_LINK36"/>
            <w:r>
              <w:rPr>
                <w:rFonts w:hint="eastAsia"/>
                <w:color w:val="auto"/>
                <w:highlight w:val="none"/>
              </w:rPr>
              <w:t>本项目拒绝接受被录入检察机关行贿犯罪档案的投标人；拒绝被有关行政监管部门通报限制投标且在限制期内的投标人。</w:t>
            </w:r>
            <w:bookmarkEnd w:id="48"/>
            <w:bookmarkEnd w:id="51"/>
          </w:p>
        </w:tc>
      </w:tr>
      <w:tr w14:paraId="73E91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vAlign w:val="center"/>
          </w:tcPr>
          <w:p w14:paraId="0C04C8D8">
            <w:pPr>
              <w:pStyle w:val="15"/>
              <w:rPr>
                <w:color w:val="auto"/>
                <w:highlight w:val="none"/>
              </w:rPr>
            </w:pPr>
            <w:r>
              <w:rPr>
                <w:rFonts w:hint="eastAsia"/>
                <w:color w:val="auto"/>
                <w:highlight w:val="none"/>
              </w:rPr>
              <w:t>投标保证金</w:t>
            </w:r>
          </w:p>
        </w:tc>
        <w:tc>
          <w:tcPr>
            <w:tcW w:w="4019" w:type="pct"/>
            <w:vAlign w:val="center"/>
          </w:tcPr>
          <w:p w14:paraId="3F22F8C7">
            <w:pPr>
              <w:pStyle w:val="15"/>
              <w:jc w:val="left"/>
              <w:rPr>
                <w:color w:val="auto"/>
                <w:highlight w:val="none"/>
              </w:rPr>
            </w:pPr>
            <w:r>
              <w:rPr>
                <w:rFonts w:hint="eastAsia"/>
                <w:color w:val="auto"/>
                <w:highlight w:val="none"/>
              </w:rPr>
              <w:t>无</w:t>
            </w:r>
          </w:p>
        </w:tc>
      </w:tr>
      <w:tr w14:paraId="23A0C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0" w:type="pct"/>
            <w:vAlign w:val="center"/>
          </w:tcPr>
          <w:p w14:paraId="5A41DA50">
            <w:pPr>
              <w:pStyle w:val="15"/>
              <w:rPr>
                <w:color w:val="auto"/>
                <w:highlight w:val="none"/>
              </w:rPr>
            </w:pPr>
            <w:r>
              <w:rPr>
                <w:rFonts w:hint="eastAsia"/>
                <w:color w:val="auto"/>
                <w:highlight w:val="none"/>
              </w:rPr>
              <w:t>招标控制价/基础下浮费率</w:t>
            </w:r>
          </w:p>
        </w:tc>
        <w:tc>
          <w:tcPr>
            <w:tcW w:w="4019" w:type="pct"/>
            <w:vAlign w:val="center"/>
          </w:tcPr>
          <w:p w14:paraId="15236E92">
            <w:pPr>
              <w:keepNext w:val="0"/>
              <w:keepLines w:val="0"/>
              <w:widowControl/>
              <w:numPr>
                <w:ilvl w:val="0"/>
                <w:numId w:val="0"/>
              </w:numPr>
              <w:suppressLineNumbers w:val="0"/>
              <w:spacing w:line="440" w:lineRule="exact"/>
              <w:jc w:val="left"/>
              <w:rPr>
                <w:rFonts w:hint="eastAsia" w:ascii="仿宋_GB2312" w:hAnsi="仿宋_GB2312" w:eastAsia="仿宋_GB2312" w:cs="仿宋_GB2312"/>
                <w:color w:val="auto"/>
                <w:kern w:val="0"/>
                <w:sz w:val="28"/>
                <w:szCs w:val="28"/>
                <w:highlight w:val="none"/>
                <w:lang w:val="en-US" w:eastAsia="zh-CN" w:bidi="ar-SA"/>
              </w:rPr>
            </w:pPr>
            <w:bookmarkStart w:id="52" w:name="OLE_LINK72"/>
            <w:r>
              <w:rPr>
                <w:rFonts w:hint="eastAsia" w:ascii="仿宋_GB2312" w:hAnsi="仿宋_GB2312" w:eastAsia="仿宋_GB2312" w:cs="仿宋_GB2312"/>
                <w:color w:val="auto"/>
                <w:kern w:val="0"/>
                <w:sz w:val="28"/>
                <w:szCs w:val="28"/>
                <w:highlight w:val="none"/>
                <w:lang w:val="en-US" w:eastAsia="zh-CN" w:bidi="ar-SA"/>
              </w:rPr>
              <w:t>1.</w:t>
            </w:r>
            <w:bookmarkStart w:id="53" w:name="OLE_LINK35"/>
            <w:r>
              <w:rPr>
                <w:rFonts w:hint="eastAsia" w:ascii="仿宋_GB2312" w:hAnsi="仿宋_GB2312" w:eastAsia="仿宋_GB2312" w:cs="仿宋_GB2312"/>
                <w:color w:val="auto"/>
                <w:kern w:val="0"/>
                <w:sz w:val="28"/>
                <w:szCs w:val="28"/>
                <w:highlight w:val="none"/>
                <w:lang w:val="en-US" w:eastAsia="zh-CN" w:bidi="ar-SA"/>
              </w:rPr>
              <w:t>运营养护管理费</w:t>
            </w:r>
            <w:bookmarkEnd w:id="53"/>
            <w:r>
              <w:rPr>
                <w:rFonts w:hint="eastAsia" w:ascii="仿宋_GB2312" w:hAnsi="仿宋_GB2312" w:eastAsia="仿宋_GB2312" w:cs="仿宋_GB2312"/>
                <w:color w:val="auto"/>
                <w:kern w:val="0"/>
                <w:sz w:val="28"/>
                <w:szCs w:val="28"/>
                <w:highlight w:val="none"/>
                <w:lang w:val="en-US" w:eastAsia="zh-CN" w:bidi="ar-SA"/>
              </w:rPr>
              <w:t>招标控制价为</w:t>
            </w:r>
            <w:bookmarkStart w:id="54" w:name="OLE_LINK53"/>
            <w:r>
              <w:rPr>
                <w:rFonts w:hint="eastAsia" w:ascii="仿宋_GB2312" w:hAnsi="仿宋_GB2312" w:eastAsia="仿宋_GB2312" w:cs="仿宋_GB2312"/>
                <w:color w:val="auto"/>
                <w:kern w:val="0"/>
                <w:sz w:val="28"/>
                <w:szCs w:val="28"/>
                <w:highlight w:val="none"/>
                <w:u w:val="none"/>
                <w:lang w:val="en-US" w:eastAsia="zh-CN" w:bidi="ar-SA"/>
              </w:rPr>
              <w:t>3.5元/m2·年</w:t>
            </w:r>
            <w:bookmarkEnd w:id="54"/>
            <w:r>
              <w:rPr>
                <w:rFonts w:hint="eastAsia" w:ascii="仿宋_GB2312" w:hAnsi="仿宋_GB2312" w:eastAsia="仿宋_GB2312" w:cs="仿宋_GB2312"/>
                <w:color w:val="auto"/>
                <w:kern w:val="0"/>
                <w:sz w:val="28"/>
                <w:szCs w:val="28"/>
                <w:highlight w:val="none"/>
                <w:lang w:val="en-US" w:eastAsia="zh-CN" w:bidi="ar-SA"/>
              </w:rPr>
              <w:t xml:space="preserve">，超过控制价的报价无效； </w:t>
            </w:r>
          </w:p>
          <w:p w14:paraId="4B3DC250">
            <w:pPr>
              <w:pStyle w:val="15"/>
              <w:spacing w:line="440" w:lineRule="exact"/>
              <w:jc w:val="left"/>
              <w:rPr>
                <w:rFonts w:hint="eastAsia"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2.</w:t>
            </w:r>
            <w:bookmarkStart w:id="55" w:name="OLE_LINK19"/>
            <w:bookmarkStart w:id="56" w:name="OLE_LINK98"/>
            <w:r>
              <w:rPr>
                <w:rFonts w:hint="eastAsia" w:ascii="仿宋_GB2312" w:hAnsi="仿宋_GB2312" w:eastAsia="仿宋_GB2312" w:cs="仿宋_GB2312"/>
                <w:color w:val="auto"/>
                <w:kern w:val="0"/>
                <w:sz w:val="28"/>
                <w:szCs w:val="28"/>
                <w:highlight w:val="none"/>
                <w:lang w:val="en-US" w:eastAsia="zh-CN" w:bidi="ar-SA"/>
              </w:rPr>
              <w:t>安全应急处置费</w:t>
            </w:r>
            <w:bookmarkEnd w:id="55"/>
            <w:bookmarkStart w:id="57" w:name="OLE_LINK22"/>
            <w:r>
              <w:rPr>
                <w:rFonts w:hint="eastAsia" w:ascii="仿宋_GB2312" w:hAnsi="仿宋_GB2312" w:eastAsia="仿宋_GB2312" w:cs="仿宋_GB2312"/>
                <w:color w:val="auto"/>
                <w:kern w:val="0"/>
                <w:sz w:val="28"/>
                <w:szCs w:val="28"/>
                <w:highlight w:val="none"/>
                <w:lang w:val="en-US" w:eastAsia="zh-CN" w:bidi="ar-SA"/>
              </w:rPr>
              <w:t>为下浮率报价</w:t>
            </w:r>
            <w:bookmarkEnd w:id="57"/>
            <w:r>
              <w:rPr>
                <w:rFonts w:hint="eastAsia" w:ascii="仿宋_GB2312" w:hAnsi="仿宋_GB2312" w:eastAsia="仿宋_GB2312" w:cs="仿宋_GB2312"/>
                <w:color w:val="auto"/>
                <w:kern w:val="0"/>
                <w:sz w:val="28"/>
                <w:szCs w:val="28"/>
                <w:highlight w:val="none"/>
                <w:lang w:val="en-US" w:eastAsia="zh-CN" w:bidi="ar-SA"/>
              </w:rPr>
              <w:t>，</w:t>
            </w:r>
            <w:bookmarkStart w:id="58" w:name="OLE_LINK16"/>
            <w:r>
              <w:rPr>
                <w:rFonts w:hint="eastAsia" w:ascii="仿宋_GB2312" w:hAnsi="仿宋_GB2312" w:eastAsia="仿宋_GB2312" w:cs="仿宋_GB2312"/>
                <w:color w:val="auto"/>
                <w:kern w:val="0"/>
                <w:sz w:val="28"/>
                <w:szCs w:val="28"/>
                <w:highlight w:val="none"/>
                <w:lang w:val="en-US" w:eastAsia="zh-CN" w:bidi="ar-SA"/>
              </w:rPr>
              <w:t>报价区间为</w:t>
            </w:r>
            <w:r>
              <w:rPr>
                <w:rFonts w:hint="eastAsia" w:cs="仿宋_GB2312"/>
                <w:color w:val="auto"/>
                <w:kern w:val="0"/>
                <w:sz w:val="28"/>
                <w:szCs w:val="28"/>
                <w:highlight w:val="none"/>
                <w:lang w:val="en-US" w:eastAsia="zh-CN" w:bidi="ar-SA"/>
              </w:rPr>
              <w:t>10.5</w:t>
            </w:r>
            <w:r>
              <w:rPr>
                <w:rFonts w:hint="eastAsia" w:ascii="仿宋_GB2312" w:hAnsi="仿宋_GB2312" w:eastAsia="仿宋_GB2312" w:cs="仿宋_GB2312"/>
                <w:color w:val="auto"/>
                <w:kern w:val="0"/>
                <w:sz w:val="28"/>
                <w:szCs w:val="28"/>
                <w:highlight w:val="none"/>
                <w:lang w:val="en-US" w:eastAsia="zh-CN" w:bidi="ar-SA"/>
              </w:rPr>
              <w:t>%-10</w:t>
            </w:r>
            <w:r>
              <w:rPr>
                <w:rFonts w:hint="eastAsia" w:cs="仿宋_GB2312"/>
                <w:color w:val="auto"/>
                <w:kern w:val="0"/>
                <w:sz w:val="28"/>
                <w:szCs w:val="28"/>
                <w:highlight w:val="none"/>
                <w:lang w:val="en-US" w:eastAsia="zh-CN" w:bidi="ar-SA"/>
              </w:rPr>
              <w:t>0</w:t>
            </w:r>
            <w:r>
              <w:rPr>
                <w:rFonts w:hint="eastAsia" w:ascii="仿宋_GB2312" w:hAnsi="仿宋_GB2312" w:eastAsia="仿宋_GB2312" w:cs="仿宋_GB2312"/>
                <w:color w:val="auto"/>
                <w:kern w:val="0"/>
                <w:sz w:val="28"/>
                <w:szCs w:val="28"/>
                <w:highlight w:val="none"/>
                <w:lang w:val="en-US" w:eastAsia="zh-CN" w:bidi="ar-SA"/>
              </w:rPr>
              <w:t>%</w:t>
            </w:r>
            <w:bookmarkEnd w:id="56"/>
            <w:r>
              <w:rPr>
                <w:rFonts w:hint="eastAsia" w:ascii="仿宋_GB2312" w:hAnsi="仿宋_GB2312" w:eastAsia="仿宋_GB2312" w:cs="仿宋_GB2312"/>
                <w:color w:val="auto"/>
                <w:kern w:val="0"/>
                <w:sz w:val="28"/>
                <w:szCs w:val="28"/>
                <w:highlight w:val="none"/>
                <w:lang w:val="en-US" w:eastAsia="zh-CN" w:bidi="ar-SA"/>
              </w:rPr>
              <w:t>，</w:t>
            </w:r>
            <w:bookmarkEnd w:id="58"/>
            <w:r>
              <w:rPr>
                <w:rFonts w:hint="eastAsia" w:ascii="仿宋_GB2312" w:hAnsi="仿宋_GB2312" w:eastAsia="仿宋_GB2312" w:cs="仿宋_GB2312"/>
                <w:color w:val="auto"/>
                <w:kern w:val="0"/>
                <w:sz w:val="28"/>
                <w:szCs w:val="28"/>
                <w:highlight w:val="none"/>
                <w:lang w:val="en-US" w:eastAsia="zh-CN" w:bidi="ar-SA"/>
              </w:rPr>
              <w:t>超过报价区间的报价无效。</w:t>
            </w:r>
            <w:r>
              <w:rPr>
                <w:rFonts w:hint="eastAsia" w:cs="仿宋_GB2312"/>
                <w:color w:val="auto"/>
                <w:kern w:val="0"/>
                <w:sz w:val="28"/>
                <w:szCs w:val="28"/>
                <w:highlight w:val="none"/>
                <w:lang w:val="en-US" w:eastAsia="zh-CN" w:bidi="ar-SA"/>
              </w:rPr>
              <w:t>（本项仅需提供报价，不计入报价得分）</w:t>
            </w:r>
            <w:r>
              <w:rPr>
                <w:rFonts w:hint="eastAsia" w:cs="仿宋_GB2312"/>
                <w:color w:val="auto"/>
                <w:kern w:val="0"/>
                <w:sz w:val="28"/>
                <w:szCs w:val="28"/>
                <w:highlight w:val="none"/>
                <w:u w:val="none"/>
                <w:lang w:val="en-US" w:eastAsia="zh-CN" w:bidi="ar-SA"/>
              </w:rPr>
              <w:t>；</w:t>
            </w:r>
          </w:p>
          <w:p w14:paraId="796EBA1C">
            <w:pPr>
              <w:pStyle w:val="15"/>
              <w:spacing w:line="440" w:lineRule="exact"/>
              <w:jc w:val="left"/>
              <w:rPr>
                <w:rFonts w:hint="default" w:cs="仿宋_GB2312"/>
                <w:color w:val="auto"/>
                <w:kern w:val="0"/>
                <w:sz w:val="28"/>
                <w:szCs w:val="28"/>
                <w:highlight w:val="none"/>
                <w:lang w:val="en-US" w:eastAsia="zh-CN" w:bidi="ar-SA"/>
              </w:rPr>
            </w:pPr>
            <w:r>
              <w:rPr>
                <w:rFonts w:hint="eastAsia" w:cs="仿宋_GB2312"/>
                <w:color w:val="auto"/>
                <w:kern w:val="0"/>
                <w:sz w:val="28"/>
                <w:szCs w:val="28"/>
                <w:highlight w:val="none"/>
                <w:lang w:val="en-US" w:eastAsia="zh-CN" w:bidi="ar-SA"/>
              </w:rPr>
              <w:t>3.</w:t>
            </w:r>
            <w:r>
              <w:rPr>
                <w:rFonts w:hint="eastAsia" w:ascii="仿宋_GB2312" w:hAnsi="仿宋_GB2312" w:eastAsia="仿宋_GB2312" w:cs="仿宋_GB2312"/>
                <w:color w:val="auto"/>
                <w:sz w:val="28"/>
                <w:szCs w:val="28"/>
                <w:highlight w:val="none"/>
                <w:lang w:val="en-US" w:eastAsia="zh-CN"/>
              </w:rPr>
              <w:t>运营养护管理费的签约合同价为三家中标单位中的最低价；安全应急处置费的签约合同价为三家中标单位中下浮最高的</w:t>
            </w:r>
            <w:bookmarkEnd w:id="52"/>
            <w:r>
              <w:rPr>
                <w:rFonts w:hint="eastAsia" w:cs="仿宋_GB2312"/>
                <w:color w:val="auto"/>
                <w:sz w:val="28"/>
                <w:szCs w:val="28"/>
                <w:highlight w:val="none"/>
                <w:lang w:val="en-US" w:eastAsia="zh-CN"/>
              </w:rPr>
              <w:t>。</w:t>
            </w:r>
          </w:p>
        </w:tc>
      </w:tr>
      <w:tr w14:paraId="2CB94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vAlign w:val="center"/>
          </w:tcPr>
          <w:p w14:paraId="4407A334">
            <w:pPr>
              <w:pStyle w:val="15"/>
              <w:rPr>
                <w:color w:val="auto"/>
                <w:highlight w:val="none"/>
              </w:rPr>
            </w:pPr>
            <w:r>
              <w:rPr>
                <w:rFonts w:hint="eastAsia"/>
                <w:color w:val="auto"/>
                <w:highlight w:val="none"/>
              </w:rPr>
              <w:t>其他奖励</w:t>
            </w:r>
          </w:p>
        </w:tc>
        <w:tc>
          <w:tcPr>
            <w:tcW w:w="4019" w:type="pct"/>
            <w:vAlign w:val="center"/>
          </w:tcPr>
          <w:p w14:paraId="467FA9EC">
            <w:pPr>
              <w:pStyle w:val="15"/>
              <w:jc w:val="left"/>
              <w:rPr>
                <w:color w:val="auto"/>
                <w:highlight w:val="none"/>
              </w:rPr>
            </w:pPr>
            <w:r>
              <w:rPr>
                <w:rFonts w:hint="eastAsia"/>
                <w:color w:val="auto"/>
                <w:highlight w:val="none"/>
              </w:rPr>
              <w:sym w:font="Wingdings" w:char="00FE"/>
            </w:r>
            <w:r>
              <w:rPr>
                <w:rFonts w:hint="eastAsia"/>
                <w:color w:val="auto"/>
                <w:highlight w:val="none"/>
              </w:rPr>
              <w:t>无。</w:t>
            </w:r>
          </w:p>
          <w:p w14:paraId="6D1902CC">
            <w:pPr>
              <w:pStyle w:val="15"/>
              <w:jc w:val="left"/>
              <w:rPr>
                <w:color w:val="auto"/>
                <w:highlight w:val="none"/>
                <w:u w:val="single"/>
              </w:rPr>
            </w:pPr>
            <w:r>
              <w:rPr>
                <w:rFonts w:hint="eastAsia"/>
                <w:color w:val="auto"/>
                <w:highlight w:val="none"/>
              </w:rPr>
              <w:sym w:font="Wingdings" w:char="00A8"/>
            </w:r>
            <w:r>
              <w:rPr>
                <w:rFonts w:hint="eastAsia"/>
                <w:color w:val="auto"/>
                <w:highlight w:val="none"/>
              </w:rPr>
              <w:t>本次获得飞英杯，奖励：中标结算下浮率-1%。</w:t>
            </w:r>
          </w:p>
        </w:tc>
      </w:tr>
      <w:tr w14:paraId="46B3F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vAlign w:val="center"/>
          </w:tcPr>
          <w:p w14:paraId="4131980F">
            <w:pPr>
              <w:pStyle w:val="15"/>
              <w:jc w:val="left"/>
              <w:rPr>
                <w:color w:val="auto"/>
                <w:highlight w:val="none"/>
              </w:rPr>
            </w:pPr>
            <w:r>
              <w:rPr>
                <w:rFonts w:hint="eastAsia"/>
                <w:color w:val="auto"/>
                <w:highlight w:val="none"/>
              </w:rPr>
              <w:t>招标代理费</w:t>
            </w:r>
          </w:p>
        </w:tc>
        <w:tc>
          <w:tcPr>
            <w:tcW w:w="4019" w:type="pct"/>
            <w:vAlign w:val="center"/>
          </w:tcPr>
          <w:p w14:paraId="21CE10E0">
            <w:pPr>
              <w:pStyle w:val="15"/>
              <w:jc w:val="left"/>
              <w:rPr>
                <w:color w:val="auto"/>
                <w:highlight w:val="none"/>
              </w:rPr>
            </w:pPr>
            <w:bookmarkStart w:id="59" w:name="OLE_LINK91"/>
            <w:bookmarkStart w:id="60" w:name="OLE_LINK85"/>
            <w:r>
              <w:rPr>
                <w:rFonts w:hint="eastAsia"/>
                <w:b/>
                <w:bCs/>
                <w:color w:val="auto"/>
                <w:highlight w:val="none"/>
              </w:rPr>
              <w:t>本项目招标代理费</w:t>
            </w:r>
            <w:r>
              <w:rPr>
                <w:rFonts w:hint="eastAsia"/>
                <w:b/>
                <w:bCs/>
                <w:color w:val="auto"/>
                <w:highlight w:val="none"/>
                <w:lang w:eastAsia="zh-CN"/>
              </w:rPr>
              <w:t>一标段：5000元   二标段：9470元  三标段：5000元</w:t>
            </w:r>
            <w:r>
              <w:rPr>
                <w:rFonts w:hint="eastAsia"/>
                <w:b/>
                <w:bCs/>
                <w:color w:val="auto"/>
                <w:highlight w:val="none"/>
                <w:lang w:val="en-US" w:eastAsia="zh-CN"/>
              </w:rPr>
              <w:t>，</w:t>
            </w:r>
            <w:r>
              <w:rPr>
                <w:rFonts w:hint="eastAsia"/>
                <w:b/>
                <w:bCs/>
                <w:color w:val="auto"/>
                <w:highlight w:val="none"/>
              </w:rPr>
              <w:t>由中标单位支付招标代理</w:t>
            </w:r>
            <w:bookmarkStart w:id="61" w:name="OLE_LINK3"/>
            <w:r>
              <w:rPr>
                <w:rFonts w:hint="eastAsia"/>
                <w:b/>
                <w:bCs/>
                <w:color w:val="auto"/>
                <w:highlight w:val="none"/>
              </w:rPr>
              <w:t>费</w:t>
            </w:r>
            <w:bookmarkEnd w:id="59"/>
            <w:bookmarkEnd w:id="61"/>
            <w:r>
              <w:rPr>
                <w:rFonts w:hint="eastAsia"/>
                <w:b/>
                <w:bCs/>
                <w:color w:val="auto"/>
                <w:highlight w:val="none"/>
              </w:rPr>
              <w:t>。</w:t>
            </w:r>
            <w:bookmarkEnd w:id="60"/>
          </w:p>
        </w:tc>
      </w:tr>
    </w:tbl>
    <w:p w14:paraId="48A5E64A">
      <w:pPr>
        <w:pStyle w:val="15"/>
        <w:jc w:val="left"/>
        <w:rPr>
          <w:color w:val="auto"/>
          <w:highlight w:val="none"/>
        </w:rPr>
      </w:pPr>
      <w:r>
        <w:rPr>
          <w:rFonts w:hint="eastAsia"/>
          <w:color w:val="auto"/>
          <w:highlight w:val="none"/>
        </w:rPr>
        <w:t>三、投标方式</w:t>
      </w:r>
    </w:p>
    <w:tbl>
      <w:tblPr>
        <w:tblStyle w:val="1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6"/>
        <w:gridCol w:w="7250"/>
      </w:tblGrid>
      <w:tr w14:paraId="0FEE3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tcPr>
          <w:p w14:paraId="49B47ABA">
            <w:pPr>
              <w:pStyle w:val="15"/>
              <w:rPr>
                <w:color w:val="auto"/>
                <w:highlight w:val="none"/>
              </w:rPr>
            </w:pPr>
            <w:r>
              <w:rPr>
                <w:rFonts w:hint="eastAsia"/>
                <w:color w:val="auto"/>
                <w:highlight w:val="none"/>
              </w:rPr>
              <w:t>类别</w:t>
            </w:r>
          </w:p>
        </w:tc>
        <w:tc>
          <w:tcPr>
            <w:tcW w:w="4002" w:type="pct"/>
            <w:vAlign w:val="center"/>
          </w:tcPr>
          <w:p w14:paraId="1917C02F">
            <w:pPr>
              <w:pStyle w:val="15"/>
              <w:rPr>
                <w:color w:val="auto"/>
                <w:highlight w:val="none"/>
              </w:rPr>
            </w:pPr>
            <w:r>
              <w:rPr>
                <w:rFonts w:hint="eastAsia"/>
                <w:color w:val="auto"/>
                <w:highlight w:val="none"/>
              </w:rPr>
              <w:t>要求</w:t>
            </w:r>
          </w:p>
        </w:tc>
      </w:tr>
      <w:tr w14:paraId="0DC5E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7" w:type="pct"/>
            <w:vAlign w:val="center"/>
          </w:tcPr>
          <w:p w14:paraId="0B94D1B4">
            <w:pPr>
              <w:pStyle w:val="15"/>
              <w:rPr>
                <w:color w:val="auto"/>
                <w:highlight w:val="none"/>
              </w:rPr>
            </w:pPr>
            <w:r>
              <w:rPr>
                <w:rFonts w:hint="eastAsia"/>
                <w:color w:val="auto"/>
                <w:highlight w:val="none"/>
              </w:rPr>
              <w:t>开标时间（投标截止时间）</w:t>
            </w:r>
          </w:p>
        </w:tc>
        <w:tc>
          <w:tcPr>
            <w:tcW w:w="4002" w:type="pct"/>
            <w:vAlign w:val="center"/>
          </w:tcPr>
          <w:p w14:paraId="72F1F15D">
            <w:pPr>
              <w:pStyle w:val="15"/>
              <w:jc w:val="left"/>
              <w:rPr>
                <w:color w:val="auto"/>
                <w:highlight w:val="none"/>
              </w:rPr>
            </w:pPr>
            <w:r>
              <w:rPr>
                <w:rFonts w:hint="eastAsia"/>
                <w:color w:val="auto"/>
                <w:highlight w:val="none"/>
              </w:rPr>
              <w:t>请投标人认真、完整填写招标文件要求的各项文件、并缴纳投标保证金后，于</w:t>
            </w:r>
            <w:r>
              <w:rPr>
                <w:rFonts w:hint="eastAsia"/>
                <w:color w:val="auto"/>
                <w:highlight w:val="yellow"/>
                <w:u w:val="single"/>
              </w:rPr>
              <w:t>2024年</w:t>
            </w:r>
            <w:r>
              <w:rPr>
                <w:rFonts w:hint="eastAsia"/>
                <w:color w:val="auto"/>
                <w:highlight w:val="yellow"/>
                <w:u w:val="single"/>
                <w:lang w:val="en-US" w:eastAsia="zh-CN"/>
              </w:rPr>
              <w:t>9</w:t>
            </w:r>
            <w:r>
              <w:rPr>
                <w:rFonts w:hint="eastAsia"/>
                <w:color w:val="auto"/>
                <w:highlight w:val="yellow"/>
                <w:u w:val="single"/>
              </w:rPr>
              <w:t>月</w:t>
            </w:r>
            <w:r>
              <w:rPr>
                <w:rFonts w:hint="eastAsia"/>
                <w:color w:val="auto"/>
                <w:highlight w:val="yellow"/>
                <w:u w:val="single"/>
                <w:lang w:val="en-US" w:eastAsia="zh-CN"/>
              </w:rPr>
              <w:t>27</w:t>
            </w:r>
            <w:bookmarkStart w:id="91" w:name="_GoBack"/>
            <w:bookmarkEnd w:id="91"/>
            <w:r>
              <w:rPr>
                <w:rFonts w:hint="eastAsia"/>
                <w:color w:val="auto"/>
                <w:highlight w:val="yellow"/>
                <w:u w:val="single"/>
              </w:rPr>
              <w:t>日9时</w:t>
            </w:r>
            <w:r>
              <w:rPr>
                <w:rFonts w:hint="eastAsia"/>
                <w:color w:val="auto"/>
                <w:highlight w:val="yellow"/>
                <w:u w:val="single"/>
                <w:lang w:val="en-US" w:eastAsia="zh-CN"/>
              </w:rPr>
              <w:t>30</w:t>
            </w:r>
            <w:r>
              <w:rPr>
                <w:rFonts w:hint="eastAsia"/>
                <w:color w:val="auto"/>
                <w:highlight w:val="none"/>
                <w:u w:val="single"/>
              </w:rPr>
              <w:t>分</w:t>
            </w:r>
            <w:r>
              <w:rPr>
                <w:rFonts w:hint="eastAsia"/>
                <w:color w:val="auto"/>
                <w:highlight w:val="none"/>
              </w:rPr>
              <w:t>前将投标文件送达：南浔区南浔镇朝阳路88号招标人公司开标室；</w:t>
            </w:r>
            <w:r>
              <w:rPr>
                <w:rFonts w:hint="eastAsia"/>
                <w:color w:val="auto"/>
                <w:kern w:val="2"/>
                <w:highlight w:val="none"/>
              </w:rPr>
              <w:t>投标截止时间后（含）提交的不予受理。</w:t>
            </w:r>
          </w:p>
        </w:tc>
      </w:tr>
      <w:tr w14:paraId="2F01B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Align w:val="center"/>
          </w:tcPr>
          <w:p w14:paraId="17E0DDE5">
            <w:pPr>
              <w:pStyle w:val="15"/>
              <w:rPr>
                <w:color w:val="auto"/>
                <w:highlight w:val="none"/>
              </w:rPr>
            </w:pPr>
            <w:r>
              <w:rPr>
                <w:rFonts w:hint="eastAsia"/>
                <w:color w:val="auto"/>
                <w:highlight w:val="none"/>
              </w:rPr>
              <w:t>联系电话</w:t>
            </w:r>
          </w:p>
        </w:tc>
        <w:tc>
          <w:tcPr>
            <w:tcW w:w="4002" w:type="pct"/>
            <w:vAlign w:val="center"/>
          </w:tcPr>
          <w:p w14:paraId="0116B412">
            <w:pPr>
              <w:pStyle w:val="15"/>
              <w:jc w:val="left"/>
              <w:rPr>
                <w:color w:val="auto"/>
                <w:highlight w:val="none"/>
              </w:rPr>
            </w:pPr>
            <w:r>
              <w:rPr>
                <w:rFonts w:hint="eastAsia"/>
                <w:color w:val="auto"/>
                <w:highlight w:val="none"/>
              </w:rPr>
              <w:t>湖州南浔城投城市建设集团有限公司：孙工0572-3018269</w:t>
            </w:r>
          </w:p>
          <w:p w14:paraId="0207943B">
            <w:pPr>
              <w:pStyle w:val="15"/>
              <w:jc w:val="left"/>
              <w:rPr>
                <w:rFonts w:hint="default" w:eastAsia="仿宋_GB2312"/>
                <w:color w:val="auto"/>
                <w:highlight w:val="none"/>
                <w:lang w:val="en-US" w:eastAsia="zh-CN"/>
              </w:rPr>
            </w:pPr>
            <w:r>
              <w:rPr>
                <w:rFonts w:hint="eastAsia"/>
                <w:color w:val="auto"/>
                <w:highlight w:val="none"/>
                <w:lang w:eastAsia="zh-CN"/>
              </w:rPr>
              <w:t>浙江建安工程管理有限公司</w:t>
            </w:r>
            <w:r>
              <w:rPr>
                <w:rFonts w:hint="eastAsia"/>
                <w:color w:val="auto"/>
                <w:highlight w:val="none"/>
              </w:rPr>
              <w:t>：</w:t>
            </w:r>
            <w:r>
              <w:rPr>
                <w:rFonts w:hint="eastAsia"/>
                <w:color w:val="auto"/>
                <w:highlight w:val="none"/>
                <w:lang w:eastAsia="zh-CN"/>
              </w:rPr>
              <w:t>丁晓琴</w:t>
            </w:r>
            <w:r>
              <w:rPr>
                <w:rFonts w:hint="eastAsia"/>
                <w:color w:val="auto"/>
                <w:highlight w:val="none"/>
              </w:rPr>
              <w:t xml:space="preserve"> 0572-</w:t>
            </w:r>
            <w:r>
              <w:rPr>
                <w:rFonts w:hint="eastAsia"/>
                <w:color w:val="auto"/>
                <w:highlight w:val="none"/>
                <w:lang w:val="en-US" w:eastAsia="zh-CN"/>
              </w:rPr>
              <w:t>2606711</w:t>
            </w:r>
          </w:p>
        </w:tc>
      </w:tr>
      <w:tr w14:paraId="35EB8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Align w:val="center"/>
          </w:tcPr>
          <w:p w14:paraId="40B7866A">
            <w:pPr>
              <w:pStyle w:val="15"/>
              <w:rPr>
                <w:color w:val="auto"/>
                <w:highlight w:val="none"/>
              </w:rPr>
            </w:pPr>
            <w:r>
              <w:rPr>
                <w:rFonts w:hint="eastAsia"/>
                <w:color w:val="auto"/>
                <w:highlight w:val="none"/>
              </w:rPr>
              <w:t>开标地点</w:t>
            </w:r>
          </w:p>
        </w:tc>
        <w:tc>
          <w:tcPr>
            <w:tcW w:w="4002" w:type="pct"/>
            <w:vAlign w:val="center"/>
          </w:tcPr>
          <w:p w14:paraId="57125408">
            <w:pPr>
              <w:pStyle w:val="15"/>
              <w:jc w:val="left"/>
              <w:rPr>
                <w:color w:val="auto"/>
                <w:highlight w:val="none"/>
              </w:rPr>
            </w:pPr>
            <w:r>
              <w:rPr>
                <w:rFonts w:hint="eastAsia"/>
                <w:color w:val="auto"/>
                <w:highlight w:val="none"/>
              </w:rPr>
              <w:t>湖州南浔城投城市建设集团有限公司一楼开标室(101室）</w:t>
            </w:r>
          </w:p>
        </w:tc>
      </w:tr>
      <w:tr w14:paraId="7685C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Align w:val="center"/>
          </w:tcPr>
          <w:p w14:paraId="625A77A3">
            <w:pPr>
              <w:pStyle w:val="15"/>
              <w:rPr>
                <w:color w:val="auto"/>
                <w:highlight w:val="none"/>
              </w:rPr>
            </w:pPr>
            <w:r>
              <w:rPr>
                <w:rFonts w:hint="eastAsia"/>
                <w:color w:val="auto"/>
                <w:highlight w:val="none"/>
              </w:rPr>
              <w:t>投标文件的编制及包封要求</w:t>
            </w:r>
          </w:p>
        </w:tc>
        <w:tc>
          <w:tcPr>
            <w:tcW w:w="4002" w:type="pct"/>
            <w:vAlign w:val="center"/>
          </w:tcPr>
          <w:p w14:paraId="27507E67">
            <w:pPr>
              <w:pStyle w:val="15"/>
              <w:jc w:val="left"/>
              <w:rPr>
                <w:color w:val="auto"/>
                <w:highlight w:val="yellow"/>
              </w:rPr>
            </w:pPr>
            <w:bookmarkStart w:id="62" w:name="OLE_LINK87"/>
            <w:r>
              <w:rPr>
                <w:rFonts w:hint="eastAsia"/>
                <w:color w:val="auto"/>
                <w:highlight w:val="none"/>
                <w:lang w:val="en-US" w:eastAsia="zh-CN"/>
              </w:rPr>
              <w:t>每个标段</w:t>
            </w:r>
            <w:bookmarkEnd w:id="62"/>
            <w:r>
              <w:rPr>
                <w:rFonts w:hint="eastAsia"/>
                <w:color w:val="auto"/>
                <w:highlight w:val="none"/>
              </w:rPr>
              <w:t>投标文件正本一份，须装订成册并密封包装，未密封包装的视为无效标。</w:t>
            </w:r>
          </w:p>
        </w:tc>
      </w:tr>
      <w:tr w14:paraId="2DD44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restart"/>
            <w:vAlign w:val="center"/>
          </w:tcPr>
          <w:p w14:paraId="47A2042A">
            <w:pPr>
              <w:pStyle w:val="15"/>
              <w:rPr>
                <w:color w:val="auto"/>
                <w:highlight w:val="none"/>
              </w:rPr>
            </w:pPr>
            <w:r>
              <w:rPr>
                <w:rFonts w:hint="eastAsia"/>
                <w:color w:val="auto"/>
                <w:highlight w:val="none"/>
              </w:rPr>
              <w:t>投标文件组成内容</w:t>
            </w:r>
          </w:p>
        </w:tc>
        <w:tc>
          <w:tcPr>
            <w:tcW w:w="4002" w:type="pct"/>
            <w:vAlign w:val="center"/>
          </w:tcPr>
          <w:p w14:paraId="7D7B8B94">
            <w:pPr>
              <w:pStyle w:val="15"/>
              <w:jc w:val="left"/>
              <w:rPr>
                <w:color w:val="auto"/>
                <w:highlight w:val="none"/>
              </w:rPr>
            </w:pPr>
            <w:r>
              <w:rPr>
                <w:rFonts w:hint="eastAsia"/>
                <w:color w:val="auto"/>
                <w:highlight w:val="none"/>
              </w:rPr>
              <w:t>资格部分</w:t>
            </w:r>
          </w:p>
        </w:tc>
      </w:tr>
      <w:tr w14:paraId="56286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42884586">
            <w:pPr>
              <w:pStyle w:val="15"/>
              <w:rPr>
                <w:color w:val="auto"/>
                <w:highlight w:val="none"/>
              </w:rPr>
            </w:pPr>
          </w:p>
        </w:tc>
        <w:tc>
          <w:tcPr>
            <w:tcW w:w="4002" w:type="pct"/>
            <w:vAlign w:val="center"/>
          </w:tcPr>
          <w:p w14:paraId="452BED75">
            <w:pPr>
              <w:pStyle w:val="15"/>
              <w:jc w:val="left"/>
              <w:rPr>
                <w:rFonts w:hint="eastAsia"/>
                <w:color w:val="auto"/>
                <w:highlight w:val="none"/>
              </w:rPr>
            </w:pPr>
            <w:r>
              <w:rPr>
                <w:rFonts w:hint="eastAsia" w:ascii="仿宋_GB2312" w:hAnsi="仿宋_GB2312" w:eastAsia="仿宋_GB2312" w:cs="仿宋_GB2312"/>
                <w:sz w:val="28"/>
                <w:szCs w:val="28"/>
                <w:highlight w:val="none"/>
                <w:lang w:val="en-US" w:eastAsia="zh-CN"/>
              </w:rPr>
              <w:t>1、《近三年内的强村公司证明文件（加盖镇政府公章）》（库内劳务班组不需要提供）</w:t>
            </w:r>
          </w:p>
        </w:tc>
      </w:tr>
      <w:tr w14:paraId="2AE06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6752A011">
            <w:pPr>
              <w:pStyle w:val="15"/>
              <w:rPr>
                <w:color w:val="auto"/>
                <w:highlight w:val="none"/>
              </w:rPr>
            </w:pPr>
          </w:p>
        </w:tc>
        <w:tc>
          <w:tcPr>
            <w:tcW w:w="4002" w:type="pct"/>
            <w:vAlign w:val="center"/>
          </w:tcPr>
          <w:p w14:paraId="26B5EB90">
            <w:pPr>
              <w:pStyle w:val="15"/>
              <w:jc w:val="left"/>
              <w:rPr>
                <w:color w:val="auto"/>
                <w:highlight w:val="none"/>
              </w:rPr>
            </w:pPr>
            <w:r>
              <w:rPr>
                <w:rFonts w:hint="eastAsia"/>
                <w:color w:val="auto"/>
                <w:highlight w:val="none"/>
                <w:lang w:val="en-US" w:eastAsia="zh-CN"/>
              </w:rPr>
              <w:t>2</w:t>
            </w:r>
            <w:r>
              <w:rPr>
                <w:rFonts w:hint="eastAsia"/>
                <w:color w:val="auto"/>
                <w:highlight w:val="none"/>
              </w:rPr>
              <w:t>、工商营业执照复印件</w:t>
            </w:r>
          </w:p>
        </w:tc>
      </w:tr>
      <w:tr w14:paraId="43BE4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15B6BED2">
            <w:pPr>
              <w:pStyle w:val="15"/>
              <w:rPr>
                <w:color w:val="auto"/>
                <w:highlight w:val="none"/>
              </w:rPr>
            </w:pPr>
          </w:p>
        </w:tc>
        <w:tc>
          <w:tcPr>
            <w:tcW w:w="4002" w:type="pct"/>
            <w:vAlign w:val="center"/>
          </w:tcPr>
          <w:p w14:paraId="38846D10">
            <w:pPr>
              <w:pStyle w:val="15"/>
              <w:jc w:val="left"/>
              <w:rPr>
                <w:color w:val="auto"/>
                <w:highlight w:val="none"/>
              </w:rPr>
            </w:pPr>
            <w:r>
              <w:rPr>
                <w:rFonts w:hint="eastAsia"/>
                <w:color w:val="auto"/>
                <w:highlight w:val="none"/>
                <w:lang w:val="en-US" w:eastAsia="zh-CN"/>
              </w:rPr>
              <w:t>3</w:t>
            </w:r>
            <w:r>
              <w:rPr>
                <w:rFonts w:hint="eastAsia"/>
                <w:color w:val="auto"/>
                <w:highlight w:val="none"/>
              </w:rPr>
              <w:t>、资质证书复印件、安全生产许可证复印件</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sz w:val="28"/>
                <w:szCs w:val="28"/>
                <w:highlight w:val="none"/>
                <w:lang w:val="en-US" w:eastAsia="zh-CN"/>
              </w:rPr>
              <w:t>强村公司</w:t>
            </w:r>
            <w:r>
              <w:rPr>
                <w:rFonts w:hint="eastAsia" w:ascii="仿宋_GB2312" w:hAnsi="仿宋_GB2312" w:eastAsia="仿宋_GB2312" w:cs="仿宋_GB2312"/>
                <w:color w:val="auto"/>
                <w:sz w:val="28"/>
                <w:szCs w:val="28"/>
                <w:highlight w:val="none"/>
                <w:lang w:val="en-US" w:eastAsia="zh-CN"/>
              </w:rPr>
              <w:t>本项无需提供）</w:t>
            </w:r>
          </w:p>
        </w:tc>
      </w:tr>
      <w:tr w14:paraId="68AB5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6BCE71AC">
            <w:pPr>
              <w:pStyle w:val="15"/>
              <w:rPr>
                <w:color w:val="auto"/>
                <w:highlight w:val="none"/>
              </w:rPr>
            </w:pPr>
          </w:p>
        </w:tc>
        <w:tc>
          <w:tcPr>
            <w:tcW w:w="4002" w:type="pct"/>
            <w:vAlign w:val="center"/>
          </w:tcPr>
          <w:p w14:paraId="37A7B94E">
            <w:pPr>
              <w:pStyle w:val="15"/>
              <w:jc w:val="left"/>
              <w:rPr>
                <w:color w:val="auto"/>
                <w:highlight w:val="none"/>
              </w:rPr>
            </w:pPr>
            <w:r>
              <w:rPr>
                <w:rFonts w:hint="eastAsia"/>
                <w:color w:val="auto"/>
                <w:highlight w:val="none"/>
                <w:lang w:val="en-US" w:eastAsia="zh-CN"/>
              </w:rPr>
              <w:t>4</w:t>
            </w:r>
            <w:r>
              <w:rPr>
                <w:rFonts w:hint="eastAsia"/>
                <w:color w:val="auto"/>
                <w:highlight w:val="none"/>
              </w:rPr>
              <w:t>、法定代表人身份证明</w:t>
            </w:r>
          </w:p>
        </w:tc>
      </w:tr>
      <w:tr w14:paraId="6AB79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4CDF2C41">
            <w:pPr>
              <w:pStyle w:val="15"/>
              <w:rPr>
                <w:color w:val="auto"/>
                <w:highlight w:val="none"/>
              </w:rPr>
            </w:pPr>
          </w:p>
        </w:tc>
        <w:tc>
          <w:tcPr>
            <w:tcW w:w="4002" w:type="pct"/>
            <w:vAlign w:val="center"/>
          </w:tcPr>
          <w:p w14:paraId="1363D440">
            <w:pPr>
              <w:pStyle w:val="15"/>
              <w:jc w:val="left"/>
              <w:rPr>
                <w:color w:val="auto"/>
                <w:highlight w:val="none"/>
              </w:rPr>
            </w:pPr>
            <w:r>
              <w:rPr>
                <w:rFonts w:hint="eastAsia"/>
                <w:color w:val="auto"/>
                <w:highlight w:val="none"/>
                <w:lang w:val="en-US" w:eastAsia="zh-CN"/>
              </w:rPr>
              <w:t>5</w:t>
            </w:r>
            <w:r>
              <w:rPr>
                <w:rFonts w:hint="eastAsia"/>
                <w:color w:val="auto"/>
                <w:highlight w:val="none"/>
              </w:rPr>
              <w:t>、法定代表人授权委托书</w:t>
            </w:r>
          </w:p>
        </w:tc>
      </w:tr>
      <w:tr w14:paraId="1D168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0A680C74">
            <w:pPr>
              <w:pStyle w:val="15"/>
              <w:rPr>
                <w:color w:val="auto"/>
                <w:highlight w:val="none"/>
              </w:rPr>
            </w:pPr>
          </w:p>
        </w:tc>
        <w:tc>
          <w:tcPr>
            <w:tcW w:w="4002" w:type="pct"/>
            <w:vAlign w:val="center"/>
          </w:tcPr>
          <w:p w14:paraId="05F4CE9D">
            <w:pPr>
              <w:pStyle w:val="15"/>
              <w:jc w:val="left"/>
              <w:rPr>
                <w:color w:val="auto"/>
                <w:highlight w:val="none"/>
              </w:rPr>
            </w:pPr>
            <w:r>
              <w:rPr>
                <w:rFonts w:hint="eastAsia"/>
                <w:color w:val="auto"/>
                <w:highlight w:val="none"/>
                <w:lang w:val="en-US" w:eastAsia="zh-CN"/>
              </w:rPr>
              <w:t>6</w:t>
            </w:r>
            <w:r>
              <w:rPr>
                <w:rFonts w:hint="eastAsia"/>
                <w:color w:val="auto"/>
                <w:highlight w:val="none"/>
              </w:rPr>
              <w:t>、《承诺书》</w:t>
            </w:r>
          </w:p>
        </w:tc>
      </w:tr>
      <w:tr w14:paraId="5E6A2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4879A087">
            <w:pPr>
              <w:pStyle w:val="15"/>
              <w:rPr>
                <w:color w:val="auto"/>
                <w:highlight w:val="none"/>
              </w:rPr>
            </w:pPr>
          </w:p>
        </w:tc>
        <w:tc>
          <w:tcPr>
            <w:tcW w:w="4002" w:type="pct"/>
            <w:vAlign w:val="center"/>
          </w:tcPr>
          <w:p w14:paraId="2EE4075E">
            <w:pPr>
              <w:pStyle w:val="15"/>
              <w:jc w:val="left"/>
              <w:rPr>
                <w:color w:val="auto"/>
                <w:highlight w:val="none"/>
              </w:rPr>
            </w:pPr>
            <w:r>
              <w:rPr>
                <w:rFonts w:hint="eastAsia"/>
                <w:color w:val="auto"/>
                <w:highlight w:val="none"/>
                <w:lang w:val="en-US" w:eastAsia="zh-CN"/>
              </w:rPr>
              <w:t>7</w:t>
            </w:r>
            <w:r>
              <w:rPr>
                <w:rFonts w:hint="eastAsia"/>
                <w:color w:val="auto"/>
                <w:highlight w:val="none"/>
              </w:rPr>
              <w:t>、《安全生产目标管理责任书》</w:t>
            </w:r>
          </w:p>
        </w:tc>
      </w:tr>
      <w:tr w14:paraId="19A2F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6604B027">
            <w:pPr>
              <w:pStyle w:val="15"/>
              <w:rPr>
                <w:color w:val="auto"/>
                <w:highlight w:val="none"/>
              </w:rPr>
            </w:pPr>
          </w:p>
        </w:tc>
        <w:tc>
          <w:tcPr>
            <w:tcW w:w="4002" w:type="pct"/>
            <w:vAlign w:val="center"/>
          </w:tcPr>
          <w:p w14:paraId="1EABCED1">
            <w:pPr>
              <w:pStyle w:val="15"/>
              <w:jc w:val="left"/>
              <w:rPr>
                <w:color w:val="auto"/>
                <w:highlight w:val="none"/>
              </w:rPr>
            </w:pPr>
            <w:r>
              <w:rPr>
                <w:rFonts w:hint="eastAsia"/>
                <w:color w:val="auto"/>
                <w:highlight w:val="none"/>
                <w:lang w:val="en-US" w:eastAsia="zh-CN"/>
              </w:rPr>
              <w:t>8</w:t>
            </w:r>
            <w:r>
              <w:rPr>
                <w:rFonts w:hint="eastAsia"/>
                <w:color w:val="auto"/>
                <w:highlight w:val="none"/>
              </w:rPr>
              <w:t>、《廉洁自律承诺书》</w:t>
            </w:r>
          </w:p>
        </w:tc>
      </w:tr>
      <w:tr w14:paraId="0D8FE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29B56964">
            <w:pPr>
              <w:pStyle w:val="15"/>
              <w:rPr>
                <w:color w:val="auto"/>
                <w:highlight w:val="none"/>
              </w:rPr>
            </w:pPr>
          </w:p>
        </w:tc>
        <w:tc>
          <w:tcPr>
            <w:tcW w:w="4002" w:type="pct"/>
            <w:vAlign w:val="center"/>
          </w:tcPr>
          <w:p w14:paraId="029F70DB">
            <w:pPr>
              <w:pStyle w:val="15"/>
              <w:jc w:val="left"/>
              <w:rPr>
                <w:color w:val="auto"/>
                <w:highlight w:val="none"/>
              </w:rPr>
            </w:pPr>
            <w:r>
              <w:rPr>
                <w:rFonts w:hint="eastAsia"/>
                <w:color w:val="auto"/>
                <w:highlight w:val="none"/>
                <w:lang w:val="en-US" w:eastAsia="zh-CN"/>
              </w:rPr>
              <w:t>9</w:t>
            </w:r>
            <w:r>
              <w:rPr>
                <w:rFonts w:hint="eastAsia"/>
                <w:color w:val="auto"/>
                <w:highlight w:val="none"/>
              </w:rPr>
              <w:t>、《不参与围标串标承诺书》</w:t>
            </w:r>
          </w:p>
        </w:tc>
      </w:tr>
      <w:tr w14:paraId="7B68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2EC96C40">
            <w:pPr>
              <w:pStyle w:val="15"/>
              <w:jc w:val="left"/>
              <w:rPr>
                <w:color w:val="auto"/>
                <w:highlight w:val="none"/>
              </w:rPr>
            </w:pPr>
          </w:p>
        </w:tc>
        <w:tc>
          <w:tcPr>
            <w:tcW w:w="4002" w:type="pct"/>
            <w:vAlign w:val="center"/>
          </w:tcPr>
          <w:p w14:paraId="2B5464F5">
            <w:pPr>
              <w:pStyle w:val="15"/>
              <w:jc w:val="left"/>
              <w:rPr>
                <w:color w:val="auto"/>
                <w:highlight w:val="none"/>
              </w:rPr>
            </w:pPr>
            <w:r>
              <w:rPr>
                <w:rFonts w:hint="eastAsia"/>
                <w:color w:val="auto"/>
                <w:highlight w:val="none"/>
                <w:lang w:val="en-US" w:eastAsia="zh-CN"/>
              </w:rPr>
              <w:t>10</w:t>
            </w:r>
            <w:r>
              <w:rPr>
                <w:rFonts w:hint="eastAsia"/>
                <w:color w:val="auto"/>
                <w:highlight w:val="none"/>
              </w:rPr>
              <w:t>、公司基本账户开户证明及账号信息（开户许可证或银行基本存款账户开户信息）</w:t>
            </w:r>
          </w:p>
        </w:tc>
      </w:tr>
      <w:tr w14:paraId="4C1E8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1771C38A">
            <w:pPr>
              <w:pStyle w:val="15"/>
              <w:jc w:val="left"/>
              <w:rPr>
                <w:color w:val="auto"/>
                <w:highlight w:val="none"/>
              </w:rPr>
            </w:pPr>
          </w:p>
        </w:tc>
        <w:tc>
          <w:tcPr>
            <w:tcW w:w="4002" w:type="pct"/>
            <w:vAlign w:val="center"/>
          </w:tcPr>
          <w:p w14:paraId="10697DE0">
            <w:pPr>
              <w:pStyle w:val="15"/>
              <w:jc w:val="left"/>
              <w:rPr>
                <w:color w:val="auto"/>
                <w:highlight w:val="none"/>
              </w:rPr>
            </w:pPr>
            <w:r>
              <w:rPr>
                <w:rFonts w:hint="eastAsia"/>
                <w:color w:val="auto"/>
                <w:highlight w:val="none"/>
              </w:rPr>
              <w:t>1</w:t>
            </w:r>
            <w:r>
              <w:rPr>
                <w:rFonts w:hint="eastAsia"/>
                <w:color w:val="auto"/>
                <w:highlight w:val="none"/>
                <w:lang w:val="en-US" w:eastAsia="zh-CN"/>
              </w:rPr>
              <w:t>1</w:t>
            </w:r>
            <w:r>
              <w:rPr>
                <w:rFonts w:hint="eastAsia"/>
                <w:color w:val="auto"/>
                <w:highlight w:val="none"/>
              </w:rPr>
              <w:t>、项目管理机构配备情况表</w:t>
            </w:r>
          </w:p>
        </w:tc>
      </w:tr>
      <w:tr w14:paraId="0B910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57AECFAA">
            <w:pPr>
              <w:pStyle w:val="15"/>
              <w:jc w:val="left"/>
              <w:rPr>
                <w:color w:val="auto"/>
                <w:highlight w:val="none"/>
              </w:rPr>
            </w:pPr>
          </w:p>
        </w:tc>
        <w:tc>
          <w:tcPr>
            <w:tcW w:w="4002" w:type="pct"/>
            <w:vAlign w:val="center"/>
          </w:tcPr>
          <w:p w14:paraId="67FAAE7B">
            <w:pPr>
              <w:pStyle w:val="15"/>
              <w:jc w:val="left"/>
              <w:rPr>
                <w:color w:val="auto"/>
                <w:highlight w:val="none"/>
              </w:rPr>
            </w:pPr>
            <w:r>
              <w:rPr>
                <w:rFonts w:hint="eastAsia"/>
                <w:color w:val="auto"/>
                <w:highlight w:val="none"/>
              </w:rPr>
              <w:t>技术部分</w:t>
            </w:r>
          </w:p>
        </w:tc>
      </w:tr>
      <w:tr w14:paraId="4491C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7" w:type="pct"/>
            <w:vMerge w:val="continue"/>
            <w:vAlign w:val="center"/>
          </w:tcPr>
          <w:p w14:paraId="2A2C780D">
            <w:pPr>
              <w:pStyle w:val="15"/>
              <w:jc w:val="left"/>
              <w:rPr>
                <w:color w:val="auto"/>
                <w:highlight w:val="none"/>
              </w:rPr>
            </w:pPr>
          </w:p>
        </w:tc>
        <w:tc>
          <w:tcPr>
            <w:tcW w:w="4002" w:type="pct"/>
            <w:vAlign w:val="center"/>
          </w:tcPr>
          <w:p w14:paraId="7DE97074">
            <w:pPr>
              <w:pStyle w:val="15"/>
              <w:jc w:val="left"/>
              <w:rPr>
                <w:color w:val="auto"/>
                <w:highlight w:val="none"/>
              </w:rPr>
            </w:pPr>
            <w:r>
              <w:rPr>
                <w:rFonts w:hint="eastAsia"/>
                <w:color w:val="auto"/>
                <w:highlight w:val="none"/>
              </w:rPr>
              <w:t>1</w:t>
            </w:r>
            <w:r>
              <w:rPr>
                <w:rFonts w:hint="eastAsia"/>
                <w:color w:val="auto"/>
                <w:highlight w:val="none"/>
                <w:lang w:val="en-US" w:eastAsia="zh-CN"/>
              </w:rPr>
              <w:t>2</w:t>
            </w:r>
            <w:r>
              <w:rPr>
                <w:rFonts w:hint="eastAsia"/>
                <w:color w:val="auto"/>
                <w:highlight w:val="none"/>
              </w:rPr>
              <w:t>、服务方案</w:t>
            </w:r>
          </w:p>
        </w:tc>
      </w:tr>
      <w:tr w14:paraId="26CB5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72F868AE">
            <w:pPr>
              <w:pStyle w:val="15"/>
              <w:jc w:val="left"/>
              <w:rPr>
                <w:color w:val="auto"/>
                <w:highlight w:val="none"/>
              </w:rPr>
            </w:pPr>
          </w:p>
        </w:tc>
        <w:tc>
          <w:tcPr>
            <w:tcW w:w="4002" w:type="pct"/>
            <w:vAlign w:val="center"/>
          </w:tcPr>
          <w:p w14:paraId="43A4F473">
            <w:pPr>
              <w:pStyle w:val="15"/>
              <w:jc w:val="left"/>
              <w:rPr>
                <w:color w:val="auto"/>
                <w:highlight w:val="none"/>
              </w:rPr>
            </w:pPr>
            <w:r>
              <w:rPr>
                <w:rFonts w:hint="eastAsia"/>
                <w:color w:val="auto"/>
                <w:highlight w:val="none"/>
              </w:rPr>
              <w:t>1</w:t>
            </w:r>
            <w:r>
              <w:rPr>
                <w:rFonts w:hint="eastAsia"/>
                <w:color w:val="auto"/>
                <w:highlight w:val="none"/>
                <w:lang w:val="en-US" w:eastAsia="zh-CN"/>
              </w:rPr>
              <w:t>3</w:t>
            </w:r>
            <w:r>
              <w:rPr>
                <w:rFonts w:hint="eastAsia"/>
                <w:color w:val="auto"/>
                <w:highlight w:val="none"/>
              </w:rPr>
              <w:t>、重点难点分析</w:t>
            </w:r>
          </w:p>
        </w:tc>
      </w:tr>
      <w:tr w14:paraId="52D65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743D3067">
            <w:pPr>
              <w:pStyle w:val="15"/>
              <w:jc w:val="left"/>
              <w:rPr>
                <w:color w:val="auto"/>
                <w:highlight w:val="none"/>
              </w:rPr>
            </w:pPr>
          </w:p>
        </w:tc>
        <w:tc>
          <w:tcPr>
            <w:tcW w:w="4002" w:type="pct"/>
            <w:vAlign w:val="center"/>
          </w:tcPr>
          <w:p w14:paraId="693592E3">
            <w:pPr>
              <w:pStyle w:val="15"/>
              <w:jc w:val="left"/>
              <w:rPr>
                <w:color w:val="auto"/>
                <w:highlight w:val="none"/>
              </w:rPr>
            </w:pPr>
            <w:r>
              <w:rPr>
                <w:rFonts w:hint="eastAsia"/>
                <w:color w:val="auto"/>
                <w:highlight w:val="none"/>
              </w:rPr>
              <w:t>1</w:t>
            </w:r>
            <w:r>
              <w:rPr>
                <w:rFonts w:hint="eastAsia"/>
                <w:color w:val="auto"/>
                <w:highlight w:val="none"/>
                <w:lang w:val="en-US" w:eastAsia="zh-CN"/>
              </w:rPr>
              <w:t>4</w:t>
            </w:r>
            <w:r>
              <w:rPr>
                <w:rFonts w:hint="eastAsia"/>
                <w:color w:val="auto"/>
                <w:highlight w:val="none"/>
              </w:rPr>
              <w:t>、拟投入项目人员</w:t>
            </w:r>
          </w:p>
        </w:tc>
      </w:tr>
      <w:tr w14:paraId="66543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2C90468F">
            <w:pPr>
              <w:pStyle w:val="15"/>
              <w:jc w:val="left"/>
              <w:rPr>
                <w:color w:val="auto"/>
                <w:highlight w:val="none"/>
              </w:rPr>
            </w:pPr>
          </w:p>
        </w:tc>
        <w:tc>
          <w:tcPr>
            <w:tcW w:w="4002" w:type="pct"/>
            <w:vAlign w:val="center"/>
          </w:tcPr>
          <w:p w14:paraId="2BDA3E79">
            <w:pPr>
              <w:pStyle w:val="15"/>
              <w:jc w:val="left"/>
              <w:rPr>
                <w:color w:val="auto"/>
                <w:highlight w:val="none"/>
              </w:rPr>
            </w:pPr>
            <w:r>
              <w:rPr>
                <w:rFonts w:hint="eastAsia"/>
                <w:color w:val="auto"/>
                <w:highlight w:val="none"/>
              </w:rPr>
              <w:t>1</w:t>
            </w:r>
            <w:r>
              <w:rPr>
                <w:rFonts w:hint="eastAsia"/>
                <w:color w:val="auto"/>
                <w:highlight w:val="none"/>
                <w:lang w:val="en-US" w:eastAsia="zh-CN"/>
              </w:rPr>
              <w:t>5</w:t>
            </w:r>
            <w:r>
              <w:rPr>
                <w:rFonts w:hint="eastAsia"/>
                <w:color w:val="auto"/>
                <w:highlight w:val="none"/>
              </w:rPr>
              <w:t>、对本项目有效的改进措施和合理化的建议</w:t>
            </w:r>
          </w:p>
        </w:tc>
      </w:tr>
      <w:tr w14:paraId="371E1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7ACEC393">
            <w:pPr>
              <w:pStyle w:val="15"/>
              <w:jc w:val="left"/>
              <w:rPr>
                <w:color w:val="auto"/>
                <w:highlight w:val="none"/>
              </w:rPr>
            </w:pPr>
          </w:p>
        </w:tc>
        <w:tc>
          <w:tcPr>
            <w:tcW w:w="4002" w:type="pct"/>
            <w:vAlign w:val="center"/>
          </w:tcPr>
          <w:p w14:paraId="7FA60118">
            <w:pPr>
              <w:pStyle w:val="15"/>
              <w:jc w:val="left"/>
              <w:rPr>
                <w:color w:val="auto"/>
                <w:highlight w:val="none"/>
              </w:rPr>
            </w:pPr>
            <w:r>
              <w:rPr>
                <w:rFonts w:hint="eastAsia"/>
                <w:color w:val="auto"/>
                <w:highlight w:val="none"/>
              </w:rPr>
              <w:t>1</w:t>
            </w:r>
            <w:r>
              <w:rPr>
                <w:rFonts w:hint="eastAsia"/>
                <w:color w:val="auto"/>
                <w:highlight w:val="none"/>
                <w:lang w:val="en-US" w:eastAsia="zh-CN"/>
              </w:rPr>
              <w:t>6</w:t>
            </w:r>
            <w:r>
              <w:rPr>
                <w:rFonts w:hint="eastAsia"/>
                <w:color w:val="auto"/>
                <w:highlight w:val="none"/>
              </w:rPr>
              <w:t>、服务保障</w:t>
            </w:r>
          </w:p>
        </w:tc>
      </w:tr>
      <w:tr w14:paraId="01E46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2DB3A009">
            <w:pPr>
              <w:pStyle w:val="15"/>
              <w:jc w:val="left"/>
              <w:rPr>
                <w:color w:val="auto"/>
                <w:highlight w:val="none"/>
              </w:rPr>
            </w:pPr>
          </w:p>
        </w:tc>
        <w:tc>
          <w:tcPr>
            <w:tcW w:w="4002" w:type="pct"/>
            <w:vAlign w:val="center"/>
          </w:tcPr>
          <w:p w14:paraId="60DF3305">
            <w:pPr>
              <w:pStyle w:val="15"/>
              <w:jc w:val="left"/>
              <w:rPr>
                <w:color w:val="auto"/>
                <w:highlight w:val="none"/>
              </w:rPr>
            </w:pPr>
            <w:r>
              <w:rPr>
                <w:rFonts w:hint="eastAsia"/>
                <w:color w:val="auto"/>
                <w:highlight w:val="none"/>
                <w:lang w:bidi="ar"/>
              </w:rPr>
              <w:t>1</w:t>
            </w:r>
            <w:r>
              <w:rPr>
                <w:rFonts w:hint="eastAsia"/>
                <w:color w:val="auto"/>
                <w:highlight w:val="none"/>
                <w:lang w:val="en-US" w:eastAsia="zh-CN" w:bidi="ar"/>
              </w:rPr>
              <w:t>7</w:t>
            </w:r>
            <w:r>
              <w:rPr>
                <w:rFonts w:hint="eastAsia"/>
                <w:color w:val="auto"/>
                <w:highlight w:val="none"/>
                <w:lang w:bidi="ar"/>
              </w:rPr>
              <w:t>、应急保障措施</w:t>
            </w:r>
          </w:p>
        </w:tc>
      </w:tr>
      <w:tr w14:paraId="08E92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vAlign w:val="center"/>
          </w:tcPr>
          <w:p w14:paraId="74724B73">
            <w:pPr>
              <w:pStyle w:val="15"/>
              <w:jc w:val="left"/>
              <w:rPr>
                <w:color w:val="auto"/>
                <w:highlight w:val="none"/>
              </w:rPr>
            </w:pPr>
          </w:p>
        </w:tc>
        <w:tc>
          <w:tcPr>
            <w:tcW w:w="4002" w:type="pct"/>
            <w:vAlign w:val="center"/>
          </w:tcPr>
          <w:p w14:paraId="1559D868">
            <w:pPr>
              <w:pStyle w:val="15"/>
              <w:jc w:val="left"/>
              <w:rPr>
                <w:color w:val="auto"/>
                <w:highlight w:val="none"/>
              </w:rPr>
            </w:pPr>
            <w:r>
              <w:rPr>
                <w:rFonts w:hint="eastAsia"/>
                <w:color w:val="auto"/>
                <w:highlight w:val="none"/>
              </w:rPr>
              <w:t>报价部分</w:t>
            </w:r>
          </w:p>
        </w:tc>
      </w:tr>
      <w:tr w14:paraId="62199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tcPr>
          <w:p w14:paraId="1E18B70F">
            <w:pPr>
              <w:pStyle w:val="15"/>
              <w:jc w:val="left"/>
              <w:rPr>
                <w:color w:val="auto"/>
                <w:highlight w:val="none"/>
              </w:rPr>
            </w:pPr>
          </w:p>
        </w:tc>
        <w:tc>
          <w:tcPr>
            <w:tcW w:w="4002" w:type="pct"/>
            <w:vAlign w:val="center"/>
          </w:tcPr>
          <w:p w14:paraId="31C92927">
            <w:pPr>
              <w:pStyle w:val="15"/>
              <w:jc w:val="left"/>
              <w:rPr>
                <w:color w:val="auto"/>
                <w:highlight w:val="none"/>
              </w:rPr>
            </w:pPr>
            <w:r>
              <w:rPr>
                <w:rFonts w:hint="eastAsia"/>
                <w:color w:val="auto"/>
                <w:highlight w:val="none"/>
              </w:rPr>
              <w:t>1</w:t>
            </w:r>
            <w:r>
              <w:rPr>
                <w:rFonts w:hint="eastAsia"/>
                <w:color w:val="auto"/>
                <w:highlight w:val="none"/>
                <w:lang w:val="en-US" w:eastAsia="zh-CN"/>
              </w:rPr>
              <w:t>8</w:t>
            </w:r>
            <w:r>
              <w:rPr>
                <w:rFonts w:hint="eastAsia"/>
                <w:color w:val="auto"/>
                <w:highlight w:val="none"/>
              </w:rPr>
              <w:t>、投标函</w:t>
            </w:r>
          </w:p>
        </w:tc>
      </w:tr>
      <w:tr w14:paraId="0EE9F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tcPr>
          <w:p w14:paraId="4B799F49">
            <w:pPr>
              <w:pStyle w:val="15"/>
              <w:jc w:val="left"/>
              <w:rPr>
                <w:color w:val="auto"/>
                <w:highlight w:val="none"/>
              </w:rPr>
            </w:pPr>
          </w:p>
        </w:tc>
        <w:tc>
          <w:tcPr>
            <w:tcW w:w="4002" w:type="pct"/>
            <w:vAlign w:val="center"/>
          </w:tcPr>
          <w:p w14:paraId="7E502FBF">
            <w:pPr>
              <w:pStyle w:val="15"/>
              <w:jc w:val="left"/>
              <w:rPr>
                <w:color w:val="auto"/>
                <w:highlight w:val="none"/>
              </w:rPr>
            </w:pPr>
            <w:r>
              <w:rPr>
                <w:rFonts w:hint="eastAsia"/>
                <w:color w:val="auto"/>
                <w:highlight w:val="none"/>
                <w:lang w:val="en-US" w:eastAsia="zh-CN"/>
              </w:rPr>
              <w:t>19</w:t>
            </w:r>
            <w:r>
              <w:rPr>
                <w:rFonts w:hint="eastAsia"/>
                <w:color w:val="auto"/>
                <w:highlight w:val="none"/>
              </w:rPr>
              <w:t>、投标人认为需要提供的其它资料</w:t>
            </w:r>
          </w:p>
        </w:tc>
      </w:tr>
      <w:tr w14:paraId="49816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tcPr>
          <w:p w14:paraId="31F66BF9">
            <w:pPr>
              <w:pStyle w:val="15"/>
              <w:jc w:val="left"/>
              <w:rPr>
                <w:color w:val="auto"/>
                <w:highlight w:val="none"/>
              </w:rPr>
            </w:pPr>
          </w:p>
        </w:tc>
        <w:tc>
          <w:tcPr>
            <w:tcW w:w="4002" w:type="pct"/>
            <w:vAlign w:val="center"/>
          </w:tcPr>
          <w:p w14:paraId="4A2694F0">
            <w:pPr>
              <w:pStyle w:val="15"/>
              <w:jc w:val="left"/>
              <w:rPr>
                <w:color w:val="auto"/>
                <w:highlight w:val="none"/>
              </w:rPr>
            </w:pPr>
            <w:r>
              <w:rPr>
                <w:rFonts w:hint="eastAsia"/>
                <w:color w:val="auto"/>
                <w:highlight w:val="none"/>
              </w:rPr>
              <w:t>要求：</w:t>
            </w:r>
          </w:p>
          <w:p w14:paraId="031E05D3">
            <w:pPr>
              <w:pStyle w:val="15"/>
              <w:jc w:val="left"/>
              <w:rPr>
                <w:color w:val="auto"/>
                <w:highlight w:val="none"/>
              </w:rPr>
            </w:pPr>
            <w:r>
              <w:rPr>
                <w:rFonts w:hint="eastAsia"/>
                <w:color w:val="auto"/>
                <w:highlight w:val="none"/>
              </w:rPr>
              <w:t>1、投标人应严格按照本招标文件关于投标文件要求的文件格式、内容打印装订（胶装或订书机装订，并在指定位置上加盖公司公章），不得擅自涂抹、更改，否则视为无效标。</w:t>
            </w:r>
          </w:p>
          <w:p w14:paraId="4FC975D5">
            <w:pPr>
              <w:pStyle w:val="15"/>
              <w:jc w:val="left"/>
              <w:rPr>
                <w:color w:val="auto"/>
                <w:highlight w:val="none"/>
              </w:rPr>
            </w:pPr>
            <w:r>
              <w:rPr>
                <w:rFonts w:hint="eastAsia"/>
                <w:color w:val="auto"/>
                <w:highlight w:val="none"/>
              </w:rPr>
              <w:t>2、按照上述清单顺序进行装订。</w:t>
            </w:r>
          </w:p>
          <w:p w14:paraId="365D3FAF">
            <w:pPr>
              <w:pStyle w:val="15"/>
              <w:jc w:val="left"/>
              <w:rPr>
                <w:color w:val="auto"/>
                <w:highlight w:val="none"/>
              </w:rPr>
            </w:pPr>
            <w:r>
              <w:rPr>
                <w:rFonts w:hint="eastAsia"/>
                <w:color w:val="auto"/>
                <w:highlight w:val="none"/>
              </w:rPr>
              <w:t>3、已进入招标人班组库的单位只需要提供编号为1</w:t>
            </w:r>
            <w:r>
              <w:rPr>
                <w:rFonts w:hint="eastAsia"/>
                <w:color w:val="auto"/>
                <w:highlight w:val="none"/>
                <w:lang w:val="en-US" w:eastAsia="zh-CN"/>
              </w:rPr>
              <w:t>1</w:t>
            </w:r>
            <w:r>
              <w:rPr>
                <w:rFonts w:hint="eastAsia"/>
                <w:color w:val="auto"/>
                <w:highlight w:val="none"/>
              </w:rPr>
              <w:t>-</w:t>
            </w:r>
            <w:r>
              <w:rPr>
                <w:rFonts w:hint="eastAsia"/>
                <w:color w:val="auto"/>
                <w:highlight w:val="none"/>
                <w:lang w:val="en-US" w:eastAsia="zh-CN"/>
              </w:rPr>
              <w:t>19</w:t>
            </w:r>
            <w:r>
              <w:rPr>
                <w:rFonts w:hint="eastAsia"/>
                <w:color w:val="auto"/>
                <w:highlight w:val="none"/>
              </w:rPr>
              <w:t>项的材料即可，若授权委托人非入库时的授权委托人，需提供1-</w:t>
            </w:r>
            <w:r>
              <w:rPr>
                <w:rFonts w:hint="eastAsia"/>
                <w:color w:val="auto"/>
                <w:highlight w:val="none"/>
                <w:lang w:val="en-US" w:eastAsia="zh-CN"/>
              </w:rPr>
              <w:t>19</w:t>
            </w:r>
            <w:r>
              <w:rPr>
                <w:rFonts w:hint="eastAsia"/>
                <w:color w:val="auto"/>
                <w:highlight w:val="none"/>
              </w:rPr>
              <w:t>全部资料。</w:t>
            </w:r>
          </w:p>
        </w:tc>
      </w:tr>
      <w:tr w14:paraId="78C69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Align w:val="center"/>
          </w:tcPr>
          <w:p w14:paraId="39587EAA">
            <w:pPr>
              <w:pStyle w:val="15"/>
              <w:jc w:val="center"/>
              <w:rPr>
                <w:color w:val="auto"/>
                <w:highlight w:val="none"/>
              </w:rPr>
            </w:pPr>
            <w:r>
              <w:rPr>
                <w:rFonts w:hint="eastAsia"/>
                <w:color w:val="auto"/>
                <w:highlight w:val="none"/>
              </w:rPr>
              <w:t>无效标的情形</w:t>
            </w:r>
          </w:p>
        </w:tc>
        <w:tc>
          <w:tcPr>
            <w:tcW w:w="4002" w:type="pct"/>
            <w:vAlign w:val="center"/>
          </w:tcPr>
          <w:p w14:paraId="7E08F70C">
            <w:pPr>
              <w:pStyle w:val="15"/>
              <w:jc w:val="left"/>
              <w:rPr>
                <w:color w:val="auto"/>
                <w:highlight w:val="none"/>
              </w:rPr>
            </w:pPr>
            <w:r>
              <w:rPr>
                <w:rFonts w:hint="eastAsia"/>
                <w:color w:val="auto"/>
                <w:highlight w:val="none"/>
              </w:rPr>
              <w:t>投标文件存在对招标文件实质性要求和条件未作出响应或有以下情形之一的，其投标文件将被否决：</w:t>
            </w:r>
          </w:p>
          <w:p w14:paraId="17A64B70">
            <w:pPr>
              <w:pStyle w:val="15"/>
              <w:jc w:val="left"/>
              <w:rPr>
                <w:color w:val="auto"/>
                <w:highlight w:val="none"/>
              </w:rPr>
            </w:pPr>
            <w:r>
              <w:rPr>
                <w:rFonts w:hint="eastAsia"/>
                <w:color w:val="auto"/>
                <w:highlight w:val="none"/>
              </w:rPr>
              <w:t>1.投标文件未密封包装的；</w:t>
            </w:r>
          </w:p>
          <w:p w14:paraId="7EFB0F2D">
            <w:pPr>
              <w:pStyle w:val="15"/>
              <w:jc w:val="left"/>
              <w:rPr>
                <w:color w:val="auto"/>
                <w:highlight w:val="none"/>
              </w:rPr>
            </w:pPr>
            <w:r>
              <w:rPr>
                <w:rFonts w:hint="eastAsia"/>
                <w:color w:val="auto"/>
                <w:highlight w:val="none"/>
              </w:rPr>
              <w:t>2.投标文件未按照招标文件要求的格式、内容打印装订的，投标文件擅自涂抹、更改的；</w:t>
            </w:r>
          </w:p>
          <w:p w14:paraId="2137DB55">
            <w:pPr>
              <w:pStyle w:val="15"/>
              <w:jc w:val="left"/>
              <w:rPr>
                <w:color w:val="auto"/>
                <w:highlight w:val="none"/>
              </w:rPr>
            </w:pPr>
            <w:r>
              <w:rPr>
                <w:rFonts w:hint="eastAsia"/>
                <w:color w:val="auto"/>
                <w:highlight w:val="none"/>
              </w:rPr>
              <w:t>3.投标人不满足招标文件载明的企业资质（资格要求）的；</w:t>
            </w:r>
          </w:p>
          <w:p w14:paraId="505A3561">
            <w:pPr>
              <w:pStyle w:val="15"/>
              <w:jc w:val="left"/>
              <w:rPr>
                <w:color w:val="auto"/>
                <w:highlight w:val="none"/>
              </w:rPr>
            </w:pPr>
            <w:r>
              <w:rPr>
                <w:rFonts w:hint="eastAsia"/>
                <w:color w:val="auto"/>
                <w:highlight w:val="none"/>
              </w:rPr>
              <w:t>4.投标人未按照招标文件的要求在投标截止时间前提交投标保证金的；</w:t>
            </w:r>
          </w:p>
          <w:p w14:paraId="75A23C9D">
            <w:pPr>
              <w:pStyle w:val="15"/>
              <w:jc w:val="left"/>
              <w:rPr>
                <w:color w:val="auto"/>
                <w:highlight w:val="none"/>
              </w:rPr>
            </w:pPr>
            <w:r>
              <w:rPr>
                <w:rFonts w:hint="eastAsia"/>
                <w:color w:val="auto"/>
                <w:highlight w:val="none"/>
              </w:rPr>
              <w:t>5.未按照招标文件要求提供有效资格审查资料或投标文件组成内容提供不全的；</w:t>
            </w:r>
          </w:p>
          <w:p w14:paraId="07E871AA">
            <w:pPr>
              <w:pStyle w:val="15"/>
              <w:jc w:val="left"/>
              <w:rPr>
                <w:color w:val="auto"/>
                <w:highlight w:val="none"/>
              </w:rPr>
            </w:pPr>
            <w:r>
              <w:rPr>
                <w:rFonts w:hint="eastAsia"/>
                <w:color w:val="auto"/>
                <w:highlight w:val="none"/>
              </w:rPr>
              <w:t>6.投标文件未按照招标文件格式要求进行签字、盖章的；</w:t>
            </w:r>
          </w:p>
          <w:p w14:paraId="06F83117">
            <w:pPr>
              <w:pStyle w:val="15"/>
              <w:jc w:val="left"/>
              <w:rPr>
                <w:color w:val="auto"/>
                <w:highlight w:val="none"/>
              </w:rPr>
            </w:pPr>
            <w:r>
              <w:rPr>
                <w:rFonts w:hint="eastAsia"/>
                <w:color w:val="auto"/>
                <w:highlight w:val="none"/>
              </w:rPr>
              <w:t>7.投标人递交两份或多份内容不同的投标文件；</w:t>
            </w:r>
          </w:p>
          <w:p w14:paraId="3F5CBD66">
            <w:pPr>
              <w:pStyle w:val="15"/>
              <w:jc w:val="left"/>
              <w:rPr>
                <w:color w:val="auto"/>
                <w:highlight w:val="none"/>
              </w:rPr>
            </w:pPr>
            <w:r>
              <w:rPr>
                <w:rFonts w:hint="eastAsia"/>
                <w:color w:val="auto"/>
                <w:highlight w:val="none"/>
              </w:rPr>
              <w:t>8.投标文件未按照招标文件要求编制，字迹模糊、辨认不清的；</w:t>
            </w:r>
          </w:p>
          <w:p w14:paraId="5F7EF25E">
            <w:pPr>
              <w:pStyle w:val="15"/>
              <w:jc w:val="left"/>
              <w:rPr>
                <w:color w:val="auto"/>
                <w:highlight w:val="none"/>
              </w:rPr>
            </w:pPr>
            <w:r>
              <w:rPr>
                <w:rFonts w:hint="eastAsia"/>
                <w:color w:val="auto"/>
                <w:highlight w:val="none"/>
              </w:rPr>
              <w:t>9.投标人的投标承诺存在未如实反映或虚假承诺等情况；</w:t>
            </w:r>
          </w:p>
          <w:p w14:paraId="111F763D">
            <w:pPr>
              <w:pStyle w:val="15"/>
              <w:jc w:val="left"/>
              <w:rPr>
                <w:color w:val="auto"/>
                <w:highlight w:val="none"/>
              </w:rPr>
            </w:pPr>
            <w:r>
              <w:rPr>
                <w:rFonts w:hint="eastAsia"/>
                <w:color w:val="auto"/>
                <w:highlight w:val="none"/>
              </w:rPr>
              <w:t>10.</w:t>
            </w:r>
            <w:r>
              <w:rPr>
                <w:rFonts w:hint="eastAsia" w:ascii="仿宋_GB2312" w:hAnsi="仿宋_GB2312" w:eastAsia="仿宋_GB2312" w:cs="仿宋_GB2312"/>
                <w:b/>
                <w:bCs/>
                <w:color w:val="auto"/>
                <w:sz w:val="28"/>
                <w:szCs w:val="28"/>
                <w:highlight w:val="none"/>
                <w:lang w:val="en-US" w:eastAsia="zh-CN"/>
              </w:rPr>
              <w:t>投标报价超出招标控制价范围的</w:t>
            </w:r>
            <w:r>
              <w:rPr>
                <w:rFonts w:hint="eastAsia"/>
                <w:color w:val="auto"/>
                <w:highlight w:val="none"/>
              </w:rPr>
              <w:t>；</w:t>
            </w:r>
          </w:p>
          <w:p w14:paraId="00150270">
            <w:pPr>
              <w:pStyle w:val="15"/>
              <w:jc w:val="left"/>
              <w:rPr>
                <w:color w:val="auto"/>
                <w:highlight w:val="none"/>
              </w:rPr>
            </w:pPr>
            <w:r>
              <w:rPr>
                <w:rFonts w:hint="eastAsia"/>
                <w:color w:val="auto"/>
                <w:highlight w:val="none"/>
              </w:rPr>
              <w:t>11.投标文件附有招标人不能接受的条件。</w:t>
            </w:r>
          </w:p>
        </w:tc>
      </w:tr>
    </w:tbl>
    <w:p w14:paraId="023493AE">
      <w:pPr>
        <w:pStyle w:val="15"/>
        <w:jc w:val="left"/>
        <w:rPr>
          <w:color w:val="auto"/>
          <w:highlight w:val="none"/>
        </w:rPr>
      </w:pPr>
      <w:r>
        <w:rPr>
          <w:rFonts w:hint="eastAsia"/>
          <w:color w:val="auto"/>
          <w:highlight w:val="none"/>
        </w:rPr>
        <w:t>四、评标办法</w:t>
      </w:r>
    </w:p>
    <w:p w14:paraId="1E8BC824">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1、开标</w:t>
      </w:r>
    </w:p>
    <w:p w14:paraId="1D3F7DB4">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第一步，招标人于开标前对投标文件的密封性进行检查，并对检查情况签字确认</w:t>
      </w:r>
      <w:r>
        <w:rPr>
          <w:rFonts w:hint="eastAsia" w:ascii="仿宋_GB2312" w:hAnsi="仿宋_GB2312" w:eastAsia="仿宋_GB2312" w:cs="仿宋_GB2312"/>
          <w:b/>
          <w:bCs/>
          <w:color w:val="auto"/>
          <w:sz w:val="28"/>
          <w:szCs w:val="28"/>
          <w:highlight w:val="none"/>
        </w:rPr>
        <w:t>（由递交投标文件的第一家单位和最后一家单位作为所有投标人的代表在检查记录表上签字）</w:t>
      </w:r>
      <w:r>
        <w:rPr>
          <w:rFonts w:hint="eastAsia" w:ascii="仿宋_GB2312" w:hAnsi="仿宋_GB2312" w:eastAsia="仿宋_GB2312" w:cs="仿宋_GB2312"/>
          <w:color w:val="auto"/>
          <w:sz w:val="28"/>
          <w:szCs w:val="28"/>
          <w:highlight w:val="none"/>
        </w:rPr>
        <w:t>。</w:t>
      </w:r>
    </w:p>
    <w:p w14:paraId="481198CC">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第二步，启封，宣读各单位投标报价。</w:t>
      </w:r>
    </w:p>
    <w:p w14:paraId="4CA7EAF9">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14:paraId="6A18A791">
      <w:pPr>
        <w:spacing w:line="560" w:lineRule="exact"/>
        <w:ind w:firstLine="562" w:firstLineChars="200"/>
        <w:rPr>
          <w:rFonts w:hint="eastAsia" w:ascii="仿宋_GB2312" w:hAnsi="仿宋_GB2312" w:eastAsia="仿宋_GB2312" w:cs="仿宋_GB2312"/>
          <w:b/>
          <w:bCs/>
          <w:color w:val="auto"/>
          <w:sz w:val="28"/>
          <w:szCs w:val="28"/>
          <w:highlight w:val="none"/>
          <w:lang w:eastAsia="zh-CN"/>
        </w:rPr>
      </w:pPr>
      <w:bookmarkStart w:id="63" w:name="OLE_LINK14"/>
      <w:bookmarkStart w:id="64" w:name="OLE_LINK42"/>
      <w:r>
        <w:rPr>
          <w:rFonts w:hint="eastAsia" w:ascii="仿宋_GB2312" w:hAnsi="仿宋_GB2312" w:eastAsia="仿宋_GB2312" w:cs="仿宋_GB2312"/>
          <w:b/>
          <w:bCs/>
          <w:color w:val="auto"/>
          <w:sz w:val="28"/>
          <w:szCs w:val="28"/>
          <w:highlight w:val="none"/>
        </w:rPr>
        <w:t>本项目商务(报价)占比70</w:t>
      </w:r>
      <w:r>
        <w:rPr>
          <w:rFonts w:hint="eastAsia" w:ascii="仿宋_GB2312" w:hAnsi="仿宋_GB2312" w:eastAsia="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rPr>
        <w:t>，技术占比30</w:t>
      </w:r>
      <w:r>
        <w:rPr>
          <w:rFonts w:hint="eastAsia" w:ascii="仿宋_GB2312" w:hAnsi="仿宋_GB2312" w:eastAsia="仿宋_GB2312" w:cs="仿宋_GB2312"/>
          <w:b/>
          <w:bCs/>
          <w:color w:val="auto"/>
          <w:sz w:val="28"/>
          <w:szCs w:val="28"/>
          <w:highlight w:val="none"/>
          <w:lang w:val="en-US" w:eastAsia="zh-CN"/>
        </w:rPr>
        <w:t>%。</w:t>
      </w:r>
    </w:p>
    <w:bookmarkEnd w:id="63"/>
    <w:p w14:paraId="04B74902">
      <w:pPr>
        <w:spacing w:line="560" w:lineRule="exact"/>
        <w:ind w:firstLine="562" w:firstLineChars="200"/>
        <w:rPr>
          <w:rFonts w:ascii="仿宋_GB2312" w:hAnsi="仿宋_GB2312" w:eastAsia="仿宋_GB2312" w:cs="仿宋_GB2312"/>
          <w:b/>
          <w:bCs/>
          <w:color w:val="auto"/>
          <w:sz w:val="28"/>
          <w:szCs w:val="28"/>
          <w:highlight w:val="none"/>
        </w:rPr>
      </w:pPr>
      <w:bookmarkStart w:id="65" w:name="OLE_LINK41"/>
      <w:r>
        <w:rPr>
          <w:rFonts w:hint="eastAsia" w:ascii="仿宋_GB2312" w:hAnsi="仿宋_GB2312" w:eastAsia="仿宋_GB2312" w:cs="仿宋_GB2312"/>
          <w:b/>
          <w:bCs/>
          <w:color w:val="auto"/>
          <w:sz w:val="28"/>
          <w:szCs w:val="28"/>
          <w:highlight w:val="none"/>
        </w:rPr>
        <w:t>投标人的最终得分=报价得分</w:t>
      </w:r>
      <w:bookmarkStart w:id="66" w:name="OLE_LINK23"/>
      <w:r>
        <w:rPr>
          <w:rFonts w:hint="eastAsia" w:ascii="仿宋_GB2312" w:hAnsi="仿宋_GB2312" w:eastAsia="仿宋_GB2312" w:cs="仿宋_GB2312"/>
          <w:b/>
          <w:bCs/>
          <w:color w:val="auto"/>
          <w:sz w:val="28"/>
          <w:szCs w:val="28"/>
          <w:highlight w:val="none"/>
          <w:lang w:val="en-US" w:eastAsia="zh-CN"/>
        </w:rPr>
        <w:t>*权重</w:t>
      </w:r>
      <w:bookmarkEnd w:id="66"/>
      <w:r>
        <w:rPr>
          <w:rFonts w:hint="eastAsia" w:ascii="仿宋_GB2312" w:hAnsi="仿宋_GB2312" w:eastAsia="仿宋_GB2312" w:cs="仿宋_GB2312"/>
          <w:b/>
          <w:bCs/>
          <w:color w:val="auto"/>
          <w:sz w:val="28"/>
          <w:szCs w:val="28"/>
          <w:highlight w:val="none"/>
        </w:rPr>
        <w:t>+技术标得分</w:t>
      </w:r>
      <w:r>
        <w:rPr>
          <w:rFonts w:hint="eastAsia" w:ascii="仿宋_GB2312" w:hAnsi="仿宋_GB2312" w:eastAsia="仿宋_GB2312" w:cs="仿宋_GB2312"/>
          <w:b/>
          <w:bCs/>
          <w:color w:val="auto"/>
          <w:sz w:val="28"/>
          <w:szCs w:val="28"/>
          <w:highlight w:val="none"/>
          <w:lang w:val="en-US" w:eastAsia="zh-CN"/>
        </w:rPr>
        <w:t>*权重</w:t>
      </w:r>
    </w:p>
    <w:bookmarkEnd w:id="64"/>
    <w:bookmarkEnd w:id="65"/>
    <w:p w14:paraId="6AA8EADB">
      <w:pPr>
        <w:numPr>
          <w:ilvl w:val="0"/>
          <w:numId w:val="1"/>
        </w:numPr>
        <w:spacing w:line="560" w:lineRule="exact"/>
        <w:ind w:firstLine="562" w:firstLineChars="200"/>
        <w:rPr>
          <w:rFonts w:ascii="仿宋_GB2312" w:hAnsi="仿宋_GB2312" w:eastAsia="仿宋_GB2312" w:cs="仿宋_GB2312"/>
          <w:b/>
          <w:bCs/>
          <w:color w:val="auto"/>
          <w:sz w:val="28"/>
          <w:szCs w:val="28"/>
          <w:highlight w:val="none"/>
        </w:rPr>
      </w:pPr>
      <w:bookmarkStart w:id="67" w:name="OLE_LINK86"/>
      <w:r>
        <w:rPr>
          <w:rFonts w:hint="eastAsia" w:ascii="仿宋_GB2312" w:hAnsi="仿宋_GB2312" w:eastAsia="仿宋_GB2312" w:cs="仿宋_GB2312"/>
          <w:b/>
          <w:bCs/>
          <w:color w:val="auto"/>
          <w:sz w:val="28"/>
          <w:szCs w:val="28"/>
          <w:highlight w:val="none"/>
        </w:rPr>
        <w:t>报价评定</w:t>
      </w:r>
    </w:p>
    <w:bookmarkEnd w:id="67"/>
    <w:p w14:paraId="23BA8A01">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商务标总分100分</w:t>
      </w:r>
      <w:bookmarkStart w:id="68" w:name="OLE_LINK18"/>
      <w:bookmarkStart w:id="69" w:name="OLE_LINK20"/>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权重</w:t>
      </w:r>
      <w:bookmarkEnd w:id="68"/>
      <w:r>
        <w:rPr>
          <w:rFonts w:hint="eastAsia" w:ascii="仿宋_GB2312" w:hAnsi="仿宋_GB2312" w:eastAsia="仿宋_GB2312" w:cs="仿宋_GB2312"/>
          <w:color w:val="auto"/>
          <w:sz w:val="28"/>
          <w:szCs w:val="28"/>
          <w:highlight w:val="none"/>
          <w:lang w:val="en-US" w:eastAsia="zh-CN"/>
        </w:rPr>
        <w:t>70</w:t>
      </w:r>
      <w:r>
        <w:rPr>
          <w:rFonts w:hint="eastAsia" w:ascii="仿宋_GB2312" w:hAnsi="仿宋_GB2312" w:eastAsia="仿宋_GB2312" w:cs="仿宋_GB2312"/>
          <w:color w:val="auto"/>
          <w:sz w:val="28"/>
          <w:szCs w:val="28"/>
          <w:highlight w:val="none"/>
        </w:rPr>
        <w:t>%</w:t>
      </w:r>
      <w:bookmarkEnd w:id="69"/>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按以下标准评定。</w:t>
      </w:r>
    </w:p>
    <w:p w14:paraId="7DEE11A7">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（一）有效标的确定</w:t>
      </w:r>
    </w:p>
    <w:p w14:paraId="42A31EE2">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在评定商务文件分值前，由评审委员会先对商务文件进行初步评审，存在以下情况之一的，其投标按无效投标处理：</w:t>
      </w:r>
    </w:p>
    <w:p w14:paraId="4819333F">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（1）投标人的商务文件对招标人提供的报价格式内容进行更改的；</w:t>
      </w:r>
    </w:p>
    <w:p w14:paraId="22CF0348">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（2）投标人的有效报价高于招标控制价的；</w:t>
      </w:r>
    </w:p>
    <w:p w14:paraId="107F8276">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（3）未响应招标文件其他实质性要求的。</w:t>
      </w:r>
    </w:p>
    <w:p w14:paraId="0C5D3315">
      <w:pPr>
        <w:spacing w:line="440" w:lineRule="exact"/>
        <w:ind w:firstLine="560" w:firstLineChars="200"/>
        <w:rPr>
          <w:rFonts w:ascii="仿宋_GB2312" w:hAnsi="仿宋_GB2312" w:eastAsia="仿宋_GB2312" w:cs="仿宋_GB2312"/>
          <w:color w:val="auto"/>
          <w:sz w:val="28"/>
          <w:szCs w:val="28"/>
          <w:highlight w:val="none"/>
        </w:rPr>
      </w:pPr>
      <w:bookmarkStart w:id="70" w:name="OLE_LINK13"/>
      <w:bookmarkStart w:id="71" w:name="OLE_LINK11"/>
      <w:r>
        <w:rPr>
          <w:rFonts w:hint="eastAsia" w:ascii="仿宋_GB2312" w:hAnsi="仿宋_GB2312" w:eastAsia="仿宋_GB2312" w:cs="仿宋_GB2312"/>
          <w:color w:val="auto"/>
          <w:sz w:val="28"/>
          <w:szCs w:val="28"/>
          <w:highlight w:val="none"/>
        </w:rPr>
        <w:t>按以上评审去除无效投标后，剩余为最终有效投标报价。</w:t>
      </w:r>
    </w:p>
    <w:bookmarkEnd w:id="70"/>
    <w:bookmarkEnd w:id="71"/>
    <w:p w14:paraId="216E6F7E">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（二）最佳报价的确定</w:t>
      </w:r>
      <w:bookmarkStart w:id="72" w:name="OLE_LINK10"/>
    </w:p>
    <w:p w14:paraId="2A87E6A5">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凡有效投标报价低于平均报价（平均报价的计算方法为所有有效投标报价去掉一个最高和一个最低报价后的算术平均价，当有效投标报价在3家及以下时，平均报价的计算方法为全部有效投标报价的算术平均值）8％及以上，称为有效低价投标，剩余的统称为有效合理投标。有效低报价虽不加入计算最佳报价，但是参与最终评审。</w:t>
      </w:r>
    </w:p>
    <w:bookmarkEnd w:id="72"/>
    <w:p w14:paraId="3E62235D">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（2）以最终所有有效合理投标报价的算术平均值作为最佳报价。（本项目以各投标单位的投标报价（投标总价）计算商务报价）</w:t>
      </w:r>
    </w:p>
    <w:p w14:paraId="1AE0FE99">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（三）各有效投标报价与最佳报价进行比较，按以下公式求出百分比K值（保留小数点后一位，第二位四舍五入），计算商务标得分：</w:t>
      </w:r>
    </w:p>
    <w:p w14:paraId="58DD4424">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K=（有效投标报价—最佳报价）÷最佳报价*100%</w:t>
      </w:r>
    </w:p>
    <w:p w14:paraId="4152E1F3">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当K值等于零时，得满分100分；</w:t>
      </w:r>
    </w:p>
    <w:p w14:paraId="336B53D8">
      <w:pPr>
        <w:spacing w:line="440" w:lineRule="exact"/>
        <w:ind w:firstLine="560" w:firstLineChars="200"/>
        <w:rPr>
          <w:rFonts w:ascii="仿宋_GB2312" w:hAnsi="仿宋_GB2312" w:eastAsia="仿宋_GB2312" w:cs="仿宋_GB2312"/>
          <w:color w:val="auto"/>
          <w:sz w:val="28"/>
          <w:szCs w:val="28"/>
          <w:highlight w:val="none"/>
        </w:rPr>
      </w:pPr>
      <w:bookmarkStart w:id="73" w:name="OLE_LINK95"/>
      <w:r>
        <w:rPr>
          <w:rFonts w:hint="eastAsia" w:ascii="仿宋_GB2312" w:hAnsi="仿宋_GB2312" w:eastAsia="仿宋_GB2312" w:cs="仿宋_GB2312"/>
          <w:color w:val="auto"/>
          <w:sz w:val="28"/>
          <w:szCs w:val="28"/>
          <w:highlight w:val="none"/>
        </w:rPr>
        <w:t>当K值大于零时，K值</w:t>
      </w:r>
      <w:bookmarkStart w:id="74" w:name="OLE_LINK1"/>
      <w:r>
        <w:rPr>
          <w:rFonts w:hint="eastAsia" w:ascii="仿宋_GB2312" w:hAnsi="仿宋_GB2312" w:eastAsia="仿宋_GB2312" w:cs="仿宋_GB2312"/>
          <w:color w:val="auto"/>
          <w:sz w:val="28"/>
          <w:szCs w:val="28"/>
          <w:highlight w:val="none"/>
        </w:rPr>
        <w:t>每增1%</w:t>
      </w:r>
      <w:bookmarkEnd w:id="74"/>
      <w:r>
        <w:rPr>
          <w:rFonts w:hint="eastAsia" w:ascii="仿宋_GB2312" w:hAnsi="仿宋_GB2312" w:eastAsia="仿宋_GB2312" w:cs="仿宋_GB2312"/>
          <w:color w:val="auto"/>
          <w:sz w:val="28"/>
          <w:szCs w:val="28"/>
          <w:highlight w:val="none"/>
        </w:rPr>
        <w:t>，在总分上扣0.4分</w:t>
      </w:r>
      <w:bookmarkEnd w:id="73"/>
      <w:r>
        <w:rPr>
          <w:rFonts w:hint="eastAsia" w:ascii="仿宋_GB2312" w:hAnsi="仿宋_GB2312" w:eastAsia="仿宋_GB2312" w:cs="仿宋_GB2312"/>
          <w:color w:val="auto"/>
          <w:sz w:val="28"/>
          <w:szCs w:val="28"/>
          <w:highlight w:val="none"/>
        </w:rPr>
        <w:t>；</w:t>
      </w:r>
    </w:p>
    <w:p w14:paraId="0C03BB47">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当K值小于零时，K值每减1%，在总分上扣0.3分；</w:t>
      </w:r>
    </w:p>
    <w:p w14:paraId="6A8BE613">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最佳报价由评标委员会进行计算、复核并签字确认。除计算差错外，确认后的评标基准价在本次招标期间保持不变（计算错误，仅限于以下两种情况：a.纯算术性四则运算错误；b.未按约定的计算方法，多计或者少计投标人报价的。由于评审差错，导致否决投标错误，重新评标纠正等其他情况，不属于计算差错）。</w:t>
      </w:r>
    </w:p>
    <w:p w14:paraId="6720B916">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（四）评标基准价由评标委员会进行计算、复核并签字确认。</w:t>
      </w:r>
    </w:p>
    <w:p w14:paraId="04CF6214">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计算差错，仅限于以下两种情况：（1）纯算术性四则运算差错；（2）未按约定的计算方法，多计或者少计投标人报价的。由于评标差错，导致否决投标错误，重新评标纠正等其他情况，不属于计算差错。</w:t>
      </w:r>
    </w:p>
    <w:p w14:paraId="6A6D7C62">
      <w:pPr>
        <w:numPr>
          <w:ilvl w:val="0"/>
          <w:numId w:val="1"/>
        </w:numPr>
        <w:spacing w:line="40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技术标得分。技术标总分100分</w:t>
      </w:r>
      <w:bookmarkStart w:id="75" w:name="OLE_LINK37"/>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权重</w:t>
      </w:r>
      <w:r>
        <w:rPr>
          <w:rFonts w:hint="eastAsia" w:ascii="仿宋_GB2312" w:hAnsi="仿宋_GB2312" w:eastAsia="仿宋_GB2312" w:cs="仿宋_GB2312"/>
          <w:color w:val="auto"/>
          <w:sz w:val="28"/>
          <w:szCs w:val="28"/>
          <w:highlight w:val="none"/>
          <w:lang w:val="en-US" w:eastAsia="zh-CN"/>
        </w:rPr>
        <w:t>30</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bookmarkEnd w:id="75"/>
      <w:r>
        <w:rPr>
          <w:rFonts w:hint="eastAsia" w:ascii="仿宋_GB2312" w:hAnsi="仿宋_GB2312" w:eastAsia="仿宋_GB2312" w:cs="仿宋_GB2312"/>
          <w:color w:val="auto"/>
          <w:sz w:val="28"/>
          <w:szCs w:val="28"/>
          <w:highlight w:val="none"/>
        </w:rPr>
        <w:t>，按以下标准评定。</w:t>
      </w:r>
      <w:bookmarkStart w:id="76" w:name="OLE_LINK7"/>
    </w:p>
    <w:bookmarkEnd w:id="76"/>
    <w:tbl>
      <w:tblPr>
        <w:tblStyle w:val="16"/>
        <w:tblW w:w="5160"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990"/>
        <w:gridCol w:w="5816"/>
        <w:gridCol w:w="886"/>
      </w:tblGrid>
      <w:tr w14:paraId="0C3CC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352" w:type="pct"/>
            <w:tcBorders>
              <w:bottom w:val="single" w:color="auto" w:sz="4" w:space="0"/>
            </w:tcBorders>
            <w:vAlign w:val="center"/>
          </w:tcPr>
          <w:p w14:paraId="15E84533">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4174" w:type="pct"/>
            <w:gridSpan w:val="2"/>
            <w:tcBorders>
              <w:bottom w:val="single" w:color="auto" w:sz="4" w:space="0"/>
            </w:tcBorders>
            <w:vAlign w:val="center"/>
          </w:tcPr>
          <w:p w14:paraId="63A022B7">
            <w:pPr>
              <w:spacing w:line="5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评分内容</w:t>
            </w:r>
          </w:p>
        </w:tc>
        <w:tc>
          <w:tcPr>
            <w:tcW w:w="474" w:type="pct"/>
            <w:tcBorders>
              <w:bottom w:val="single" w:color="auto" w:sz="4" w:space="0"/>
            </w:tcBorders>
            <w:vAlign w:val="center"/>
          </w:tcPr>
          <w:p w14:paraId="04D077FE">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最高</w:t>
            </w:r>
          </w:p>
          <w:p w14:paraId="0AA3DDFD">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得分</w:t>
            </w:r>
          </w:p>
        </w:tc>
      </w:tr>
      <w:tr w14:paraId="54A14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trPr>
        <w:tc>
          <w:tcPr>
            <w:tcW w:w="352" w:type="pct"/>
            <w:vAlign w:val="center"/>
          </w:tcPr>
          <w:p w14:paraId="498C8BD5">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1064" w:type="pct"/>
            <w:vAlign w:val="center"/>
          </w:tcPr>
          <w:p w14:paraId="5A8D31E9">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服务方案</w:t>
            </w:r>
          </w:p>
        </w:tc>
        <w:tc>
          <w:tcPr>
            <w:tcW w:w="3110" w:type="pct"/>
            <w:vAlign w:val="center"/>
          </w:tcPr>
          <w:p w14:paraId="0DADE23D">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服务方案从运行管理模式、实施方案等方面入手，方案合理、详细的得30分；方案欠缺或不完整的每项扣5分，扣完为止.</w:t>
            </w:r>
          </w:p>
        </w:tc>
        <w:tc>
          <w:tcPr>
            <w:tcW w:w="474" w:type="pct"/>
            <w:vAlign w:val="center"/>
          </w:tcPr>
          <w:p w14:paraId="10ABBE85">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30分</w:t>
            </w:r>
          </w:p>
        </w:tc>
      </w:tr>
      <w:tr w14:paraId="57B22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trPr>
        <w:tc>
          <w:tcPr>
            <w:tcW w:w="352" w:type="pct"/>
            <w:vAlign w:val="center"/>
          </w:tcPr>
          <w:p w14:paraId="01EBB312">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1064" w:type="pct"/>
            <w:vAlign w:val="center"/>
          </w:tcPr>
          <w:p w14:paraId="0B1AAB7A">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重点难点分析</w:t>
            </w:r>
          </w:p>
        </w:tc>
        <w:tc>
          <w:tcPr>
            <w:tcW w:w="3110" w:type="pct"/>
            <w:vAlign w:val="center"/>
          </w:tcPr>
          <w:p w14:paraId="0895E43E">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项目重点、难点的分析和解决方案精确、全面，解决方案具有针对性和可操作性的得15分；重点难点分析基本合理但欠缺的得5（含）-10分；重点难点分析存在明显缺陷的，得0-5分。</w:t>
            </w:r>
          </w:p>
        </w:tc>
        <w:tc>
          <w:tcPr>
            <w:tcW w:w="474" w:type="pct"/>
            <w:vAlign w:val="center"/>
          </w:tcPr>
          <w:p w14:paraId="71AA0FA7">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15分</w:t>
            </w:r>
          </w:p>
        </w:tc>
      </w:tr>
      <w:tr w14:paraId="3CC0A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352" w:type="pct"/>
            <w:vAlign w:val="center"/>
          </w:tcPr>
          <w:p w14:paraId="48C9C509">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1064" w:type="pct"/>
            <w:vAlign w:val="center"/>
          </w:tcPr>
          <w:p w14:paraId="20C74E9F">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拟投入本项目人员</w:t>
            </w:r>
          </w:p>
        </w:tc>
        <w:tc>
          <w:tcPr>
            <w:tcW w:w="3110" w:type="pct"/>
          </w:tcPr>
          <w:p w14:paraId="59C91B77">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技术力量和人力资源安排充足得15分，技术力量欠缺扣5分,人力资源安排不足扣5分。</w:t>
            </w:r>
          </w:p>
        </w:tc>
        <w:tc>
          <w:tcPr>
            <w:tcW w:w="474" w:type="pct"/>
            <w:vAlign w:val="center"/>
          </w:tcPr>
          <w:p w14:paraId="031EFEFC">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15分</w:t>
            </w:r>
          </w:p>
        </w:tc>
      </w:tr>
      <w:tr w14:paraId="12823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352" w:type="pct"/>
            <w:vAlign w:val="center"/>
          </w:tcPr>
          <w:p w14:paraId="63F4682B">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p>
        </w:tc>
        <w:tc>
          <w:tcPr>
            <w:tcW w:w="1064" w:type="pct"/>
            <w:vAlign w:val="center"/>
          </w:tcPr>
          <w:p w14:paraId="3C9AE745">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对本项目有效的改进措施和合理化建议</w:t>
            </w:r>
          </w:p>
        </w:tc>
        <w:tc>
          <w:tcPr>
            <w:tcW w:w="3110" w:type="pct"/>
            <w:vAlign w:val="center"/>
          </w:tcPr>
          <w:p w14:paraId="4769E318">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有效建议和措施每项得5分，最高得10分</w:t>
            </w:r>
          </w:p>
        </w:tc>
        <w:tc>
          <w:tcPr>
            <w:tcW w:w="474" w:type="pct"/>
            <w:vAlign w:val="center"/>
          </w:tcPr>
          <w:p w14:paraId="54BF26C8">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10分</w:t>
            </w:r>
          </w:p>
        </w:tc>
      </w:tr>
      <w:tr w14:paraId="7DED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trPr>
        <w:tc>
          <w:tcPr>
            <w:tcW w:w="352" w:type="pct"/>
            <w:vAlign w:val="center"/>
          </w:tcPr>
          <w:p w14:paraId="0559DD8B">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p>
        </w:tc>
        <w:tc>
          <w:tcPr>
            <w:tcW w:w="1064" w:type="pct"/>
            <w:vAlign w:val="center"/>
          </w:tcPr>
          <w:p w14:paraId="75FF3990">
            <w:pPr>
              <w:spacing w:line="5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服务保障</w:t>
            </w:r>
          </w:p>
        </w:tc>
        <w:tc>
          <w:tcPr>
            <w:tcW w:w="3110" w:type="pct"/>
          </w:tcPr>
          <w:p w14:paraId="094ACF3E">
            <w:pPr>
              <w:widowControl/>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服务保障方案和承诺以及人员到位时间承诺完整、可行，落实保障措施和其他承诺等全面周到的得5（不含）-10分，服务方案不全面，落实保障措施和其他承诺欠缺的得1-5分，除招标文件规定内容外无其他服务承诺的，该项不得分；</w:t>
            </w:r>
          </w:p>
          <w:p w14:paraId="3AC8EBD4">
            <w:pPr>
              <w:widowControl/>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2.应急响应时间：在接到招标人通知（电话、电传等）后2小时内现场响应并开展工作的得5分；</w:t>
            </w:r>
          </w:p>
        </w:tc>
        <w:tc>
          <w:tcPr>
            <w:tcW w:w="474" w:type="pct"/>
            <w:vAlign w:val="center"/>
          </w:tcPr>
          <w:p w14:paraId="0F13BDF0">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15分</w:t>
            </w:r>
          </w:p>
        </w:tc>
      </w:tr>
      <w:tr w14:paraId="1B734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trPr>
        <w:tc>
          <w:tcPr>
            <w:tcW w:w="352" w:type="pct"/>
            <w:vAlign w:val="center"/>
          </w:tcPr>
          <w:p w14:paraId="0A094DFE">
            <w:pPr>
              <w:spacing w:line="34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p>
        </w:tc>
        <w:tc>
          <w:tcPr>
            <w:tcW w:w="1064" w:type="pct"/>
            <w:vAlign w:val="center"/>
          </w:tcPr>
          <w:p w14:paraId="4F84E7CA">
            <w:pPr>
              <w:spacing w:line="340" w:lineRule="exact"/>
              <w:jc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应急保障措施</w:t>
            </w:r>
          </w:p>
        </w:tc>
        <w:tc>
          <w:tcPr>
            <w:tcW w:w="3110" w:type="pct"/>
            <w:vAlign w:val="center"/>
          </w:tcPr>
          <w:p w14:paraId="13ECE947">
            <w:pPr>
              <w:widowControl/>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根据投标人提供的应急保障措施（突发事件应急处理及重大活动保障的人员配置、机械配置、应急处置方案，落实专职人员等内容）,视其方案是否覆盖全面，是否科学合理，是否具有针对性和可操作性等进行综合评审，本项最高得15分。</w:t>
            </w:r>
          </w:p>
        </w:tc>
        <w:tc>
          <w:tcPr>
            <w:tcW w:w="474" w:type="pct"/>
            <w:vAlign w:val="center"/>
          </w:tcPr>
          <w:p w14:paraId="570114DB">
            <w:pPr>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15分</w:t>
            </w:r>
          </w:p>
        </w:tc>
      </w:tr>
    </w:tbl>
    <w:p w14:paraId="50878DA3">
      <w:pPr>
        <w:spacing w:line="440" w:lineRule="exact"/>
        <w:ind w:firstLine="562" w:firstLineChars="20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注：如出现综合得分相同者，采用随机抽签确定排名，各投标单位以递交投标文件的先后顺序作为各自的抽签序号。</w:t>
      </w:r>
    </w:p>
    <w:p w14:paraId="1A4D645E">
      <w:pPr>
        <w:pStyle w:val="15"/>
        <w:jc w:val="left"/>
        <w:rPr>
          <w:color w:val="auto"/>
          <w:highlight w:val="none"/>
        </w:rPr>
      </w:pPr>
      <w:r>
        <w:rPr>
          <w:rFonts w:hint="eastAsia"/>
          <w:color w:val="auto"/>
          <w:highlight w:val="none"/>
        </w:rPr>
        <w:t>4、其他</w:t>
      </w:r>
    </w:p>
    <w:p w14:paraId="36E0967A">
      <w:pPr>
        <w:pStyle w:val="15"/>
        <w:jc w:val="left"/>
        <w:rPr>
          <w:color w:val="auto"/>
          <w:highlight w:val="none"/>
        </w:rPr>
      </w:pPr>
      <w:r>
        <w:rPr>
          <w:rFonts w:hint="eastAsia"/>
          <w:color w:val="auto"/>
          <w:highlight w:val="none"/>
        </w:rPr>
        <w:t>（1）投标文件中的大写金额与小写金额不一致的，以大写金额为准。</w:t>
      </w:r>
    </w:p>
    <w:p w14:paraId="08656C47">
      <w:pPr>
        <w:pStyle w:val="15"/>
        <w:jc w:val="left"/>
        <w:rPr>
          <w:color w:val="auto"/>
          <w:highlight w:val="none"/>
        </w:rPr>
      </w:pPr>
      <w:r>
        <w:rPr>
          <w:rFonts w:hint="eastAsia"/>
          <w:color w:val="auto"/>
          <w:highlight w:val="none"/>
        </w:rPr>
        <w:t>（2）当有效投标人﹤3个时，评标委员会应判定本次投标是否具有竞争力。若评标委员会认为本次投标明显缺乏竞争的，按流标处理，由招标人重新组织招标。</w:t>
      </w:r>
    </w:p>
    <w:p w14:paraId="2D1D49BA">
      <w:pPr>
        <w:pStyle w:val="15"/>
        <w:jc w:val="left"/>
        <w:rPr>
          <w:color w:val="auto"/>
          <w:highlight w:val="none"/>
        </w:rPr>
      </w:pPr>
      <w:r>
        <w:rPr>
          <w:rFonts w:hint="eastAsia"/>
          <w:color w:val="auto"/>
          <w:highlight w:val="none"/>
        </w:rPr>
        <w:t>（3）招标活动流标的，投标人的投标文件由招标人安排专人负责按规定收取、密封保存，在本项目重新招标时作为该投标人的投标文件使用。该投标人按规定重新提交投标文件的，招标人应将该投标人的前后两份投标文件同时开标，投标人报价以两份投标文件中高价的报价为准作为该投标人的最终报价。</w:t>
      </w:r>
    </w:p>
    <w:p w14:paraId="0CFA020A">
      <w:pPr>
        <w:pStyle w:val="15"/>
        <w:jc w:val="left"/>
        <w:rPr>
          <w:color w:val="auto"/>
          <w:highlight w:val="none"/>
        </w:rPr>
      </w:pPr>
      <w:r>
        <w:rPr>
          <w:rFonts w:hint="eastAsia"/>
          <w:color w:val="auto"/>
          <w:highlight w:val="none"/>
        </w:rPr>
        <w:t>（4）投标人存在撤销投标文件和无正当理由放弃中标、不与招标人签订书面合同等情形，或被行政部门查实存在违法违规行为而无法履约的，招标人重新招标时可以拒绝其再次投标，该投标人不服从规定采取其他过激行为扰乱招标人正常招标程序的，招标人有权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5AF130F3">
      <w:pPr>
        <w:pStyle w:val="15"/>
        <w:jc w:val="left"/>
        <w:rPr>
          <w:color w:val="auto"/>
          <w:highlight w:val="none"/>
        </w:rPr>
      </w:pPr>
      <w:r>
        <w:rPr>
          <w:rFonts w:hint="eastAsia"/>
          <w:color w:val="auto"/>
          <w:highlight w:val="none"/>
        </w:rPr>
        <w:t>（5）投标人的法人授权委托人本人确无法参加本次投标和开标的，可以由其委托其它人员（代表）参加，招标人在与投标人的法人授权委托人本人电话或微信视频确认后可按规定收取投标文件。</w:t>
      </w:r>
    </w:p>
    <w:p w14:paraId="40F43392">
      <w:pPr>
        <w:pStyle w:val="15"/>
        <w:jc w:val="left"/>
        <w:rPr>
          <w:color w:val="auto"/>
          <w:highlight w:val="none"/>
        </w:rPr>
      </w:pPr>
      <w:r>
        <w:rPr>
          <w:rFonts w:hint="eastAsia"/>
          <w:color w:val="auto"/>
          <w:highlight w:val="none"/>
        </w:rPr>
        <w:t>五、中标人确定</w:t>
      </w:r>
    </w:p>
    <w:p w14:paraId="6047D517">
      <w:pPr>
        <w:pStyle w:val="15"/>
        <w:jc w:val="left"/>
        <w:rPr>
          <w:color w:val="auto"/>
          <w:highlight w:val="none"/>
        </w:rPr>
      </w:pPr>
      <w:r>
        <w:rPr>
          <w:rFonts w:hint="eastAsia"/>
          <w:color w:val="auto"/>
          <w:highlight w:val="none"/>
        </w:rPr>
        <w:t>1、评标委员会对</w:t>
      </w:r>
      <w:r>
        <w:rPr>
          <w:rFonts w:hint="eastAsia" w:ascii="仿宋_GB2312" w:hAnsi="仿宋_GB2312" w:eastAsia="仿宋_GB2312" w:cs="仿宋_GB2312"/>
          <w:color w:val="auto"/>
          <w:sz w:val="28"/>
          <w:szCs w:val="28"/>
          <w:highlight w:val="none"/>
          <w:lang w:val="en-US" w:eastAsia="zh-CN"/>
        </w:rPr>
        <w:t>每个标段的</w:t>
      </w:r>
      <w:r>
        <w:rPr>
          <w:rFonts w:hint="eastAsia"/>
          <w:color w:val="auto"/>
          <w:highlight w:val="none"/>
        </w:rPr>
        <w:t>投标人按总分从高到低进行排序，并按照顺序推荐中标候选人，</w:t>
      </w:r>
      <w:r>
        <w:rPr>
          <w:rFonts w:hint="eastAsia" w:ascii="仿宋_GB2312" w:hAnsi="仿宋_GB2312" w:eastAsia="仿宋_GB2312" w:cs="仿宋_GB2312"/>
          <w:color w:val="auto"/>
          <w:sz w:val="28"/>
          <w:szCs w:val="28"/>
          <w:highlight w:val="none"/>
          <w:lang w:val="en-US" w:eastAsia="zh-CN"/>
        </w:rPr>
        <w:t>每个标段</w:t>
      </w:r>
      <w:r>
        <w:rPr>
          <w:rFonts w:hint="eastAsia"/>
          <w:color w:val="auto"/>
          <w:highlight w:val="none"/>
        </w:rPr>
        <w:t>应当确定排名第1名的投标人为中标人。</w:t>
      </w:r>
    </w:p>
    <w:p w14:paraId="6DBB7F8E">
      <w:pPr>
        <w:pStyle w:val="15"/>
        <w:jc w:val="left"/>
        <w:rPr>
          <w:color w:val="auto"/>
          <w:highlight w:val="none"/>
        </w:rPr>
      </w:pPr>
      <w:r>
        <w:rPr>
          <w:rFonts w:hint="eastAsia"/>
          <w:color w:val="auto"/>
          <w:highlight w:val="none"/>
        </w:rPr>
        <w:t>2、</w:t>
      </w:r>
      <w:r>
        <w:rPr>
          <w:rFonts w:hint="eastAsia" w:ascii="仿宋_GB2312" w:hAnsi="仿宋_GB2312" w:eastAsia="仿宋_GB2312" w:cs="仿宋_GB2312"/>
          <w:sz w:val="28"/>
          <w:szCs w:val="28"/>
          <w:lang w:val="en-US" w:eastAsia="zh-CN"/>
        </w:rPr>
        <w:t>每个标段</w:t>
      </w:r>
      <w:r>
        <w:rPr>
          <w:rFonts w:hint="eastAsia"/>
          <w:color w:val="auto"/>
          <w:highlight w:val="none"/>
        </w:rPr>
        <w:t>排名第1名的中标候选人放弃中标、因不可抗力不能履行合同、不按照招标文件要求提交履约保证金，或者被查实存在影响中标结果的违法行为等情形，不符合中标条件的，招标人可以按照评标委员会提出该标段内排名第2名的投标人为中标人，排名第二的中标候选人因同样原因的，可以确定该标段内排名第3名的投标人为中标人，不再进行重新评审。招标人也可以重新招标。</w:t>
      </w:r>
    </w:p>
    <w:p w14:paraId="4C4F6E71">
      <w:pPr>
        <w:pStyle w:val="15"/>
        <w:jc w:val="left"/>
        <w:rPr>
          <w:color w:val="auto"/>
          <w:highlight w:val="none"/>
        </w:rPr>
      </w:pPr>
      <w:r>
        <w:rPr>
          <w:rFonts w:hint="eastAsia"/>
          <w:color w:val="auto"/>
          <w:highlight w:val="none"/>
        </w:rPr>
        <w:t>3、投标人在本次招投标期间已中标承揽工程项目中有在建未完工的项目数量达到3个及以上的，原则上取消该投标人的本次中标人资格，对此投标人完全知晓并同意，否则招标人有权视投标人不服从公司管理从而取消其入库资格并清退出库，投标人不服从决定采取其他过激行为从而对招标人正常经营生产造成干扰的，如为入库单位，招标人有权扣罚投标人全额入库保证金；如该投标人履约能力较好，招标人对其的信用评价得分为优良的，招标人可以按照评标委员会提议，在综合评审后认为该班组仍能胜任的，可以适当放宽条件由其中标。</w:t>
      </w:r>
    </w:p>
    <w:p w14:paraId="2FDDE99C">
      <w:pPr>
        <w:pStyle w:val="15"/>
        <w:jc w:val="left"/>
        <w:rPr>
          <w:color w:val="auto"/>
          <w:highlight w:val="none"/>
        </w:rPr>
      </w:pPr>
      <w:r>
        <w:rPr>
          <w:rFonts w:hint="eastAsia"/>
          <w:color w:val="auto"/>
          <w:highlight w:val="none"/>
        </w:rPr>
        <w:t>4、开标完成后，招标人应发布中标公告，中标公告一般公示3个自然日，公示期满后招标人发布中标通知书予中标人。</w:t>
      </w:r>
    </w:p>
    <w:p w14:paraId="25194A75">
      <w:pPr>
        <w:pStyle w:val="15"/>
        <w:jc w:val="left"/>
        <w:rPr>
          <w:color w:val="auto"/>
          <w:highlight w:val="none"/>
        </w:rPr>
      </w:pPr>
      <w:r>
        <w:rPr>
          <w:rFonts w:hint="eastAsia"/>
          <w:color w:val="auto"/>
          <w:highlight w:val="none"/>
        </w:rPr>
        <w:t>5、中标人应当自招标人中标通知书发出之日起3个工作日内，根据招标人要求及招标文件规定与招标人签订书面合同，在合同签订前需根据招标文件要求缴纳足额的履约保证金到招标人公司账户。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70CC2BD4">
      <w:pPr>
        <w:pStyle w:val="15"/>
        <w:jc w:val="left"/>
        <w:rPr>
          <w:color w:val="auto"/>
          <w:highlight w:val="none"/>
        </w:rPr>
      </w:pPr>
      <w:r>
        <w:rPr>
          <w:rFonts w:hint="eastAsia"/>
          <w:color w:val="auto"/>
          <w:highlight w:val="none"/>
        </w:rPr>
        <w:t>六、其他</w:t>
      </w:r>
    </w:p>
    <w:p w14:paraId="4370564C">
      <w:pPr>
        <w:pStyle w:val="15"/>
        <w:jc w:val="left"/>
        <w:rPr>
          <w:color w:val="auto"/>
          <w:highlight w:val="none"/>
        </w:rPr>
      </w:pPr>
      <w:r>
        <w:rPr>
          <w:rFonts w:hint="eastAsia"/>
          <w:color w:val="auto"/>
          <w:highlight w:val="none"/>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14:paraId="2EF60E14">
      <w:pPr>
        <w:pStyle w:val="15"/>
        <w:jc w:val="left"/>
        <w:rPr>
          <w:color w:val="auto"/>
          <w:highlight w:val="none"/>
        </w:rPr>
      </w:pPr>
      <w:r>
        <w:rPr>
          <w:rFonts w:hint="eastAsia"/>
          <w:color w:val="auto"/>
          <w:highlight w:val="none"/>
        </w:rPr>
        <w:t>2、因业主单位原因导致本工程工程量增减、合同中止或终止等，招标人接受并同意的，本工程中标人一并接受和同意，由此对中标人可能造成的损失由中标人自行承担。</w:t>
      </w:r>
    </w:p>
    <w:p w14:paraId="3C4285E9">
      <w:pPr>
        <w:pStyle w:val="15"/>
        <w:jc w:val="left"/>
        <w:rPr>
          <w:color w:val="auto"/>
          <w:highlight w:val="none"/>
        </w:rPr>
      </w:pPr>
      <w:r>
        <w:rPr>
          <w:rFonts w:hint="eastAsia"/>
          <w:color w:val="auto"/>
          <w:highlight w:val="none"/>
        </w:rPr>
        <w:t>3、中标人收到中标通知书后、或者中标人与招标人签订合同后接到业主单位取消该项目实施的，招标人与中标人的合作自动终止，由此对中标人可能造成的损失由中标人自行承担，相应风险由投标人在投标前综合考虑。</w:t>
      </w:r>
    </w:p>
    <w:p w14:paraId="2735004B">
      <w:pPr>
        <w:pStyle w:val="15"/>
        <w:jc w:val="left"/>
        <w:rPr>
          <w:color w:val="auto"/>
          <w:highlight w:val="none"/>
        </w:rPr>
      </w:pPr>
      <w:r>
        <w:rPr>
          <w:rFonts w:hint="eastAsia"/>
          <w:color w:val="auto"/>
          <w:highlight w:val="none"/>
        </w:rPr>
        <w:t>4、中标人应严格按照招标人的要求组织施工，涉及无信息价材料在采购和施工前须得到业主单位的签证确认并经招标人确认后方可实施，如中标人在未经确认的情况下擅自施工导致后期无信息价材料得不到签证或签证价格不理想、竣工结算及审计时导致亏本等问题由中标人自行承担，由此如对招标人造成损失的则由中标人负责全额赔偿，对此中标人完全知晓并同意。</w:t>
      </w:r>
    </w:p>
    <w:p w14:paraId="7508ACF9">
      <w:pPr>
        <w:pStyle w:val="15"/>
        <w:jc w:val="left"/>
        <w:rPr>
          <w:color w:val="auto"/>
          <w:highlight w:val="none"/>
        </w:rPr>
      </w:pPr>
      <w:r>
        <w:rPr>
          <w:rFonts w:hint="eastAsia"/>
          <w:color w:val="auto"/>
          <w:highlight w:val="none"/>
        </w:rPr>
        <w:t>5、投标人完全知晓并同意按照南浔城市集团《建设工程竣工结算审计实施办法》或业主其它规定和要求进行工程竣工结算，否则由此产生的一起责任和损失由中标人承担，由此如对招标人造成损失的则由中标人负责全额赔偿，对此投标人完全知晓并同意。</w:t>
      </w:r>
    </w:p>
    <w:p w14:paraId="5FB2340D">
      <w:pPr>
        <w:spacing w:line="560" w:lineRule="exact"/>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6、投标人严格按照南浔城市集团品牌库或业主单位、招标人要求的工程材料及设备品牌采购相关材料和设备，对此投标人完全知晓并同意，并在投标报价时已充分考虑。</w:t>
      </w:r>
    </w:p>
    <w:p w14:paraId="59ACB412">
      <w:pPr>
        <w:pStyle w:val="15"/>
        <w:jc w:val="left"/>
        <w:rPr>
          <w:color w:val="auto"/>
          <w:highlight w:val="none"/>
        </w:rPr>
      </w:pPr>
      <w:r>
        <w:rPr>
          <w:rFonts w:hint="eastAsia"/>
          <w:color w:val="auto"/>
          <w:highlight w:val="none"/>
        </w:rPr>
        <w:t>7、因中标人原因导致招标人被通报批评的，招标人有权视情节严重对中标人处2至5万元每次的经济处罚，严重的处10万元每次的处罚，在当期工程款中进行扣除。</w:t>
      </w:r>
    </w:p>
    <w:p w14:paraId="761387A0">
      <w:pPr>
        <w:pStyle w:val="15"/>
        <w:jc w:val="left"/>
        <w:rPr>
          <w:color w:val="auto"/>
          <w:highlight w:val="none"/>
        </w:rPr>
      </w:pPr>
      <w:r>
        <w:rPr>
          <w:rFonts w:hint="eastAsia"/>
          <w:color w:val="auto"/>
          <w:highlight w:val="none"/>
        </w:rPr>
        <w:t>8、中标人必须对在建工程和已完工程进行保护，交付业主单位使用前的一切保护费用由中标人负责，业主单位及招标人的保留设施由中标人负责保护，由于中标人的原因造成损坏的，中标人必须在规定的期限内修复，超出规定时间未修复的，招标人有权委托第三方对损坏设施进行修复，发生的费用直接在工程款中扣除，对此投标人完全知晓并无条件接受。</w:t>
      </w:r>
    </w:p>
    <w:p w14:paraId="40D13EEB">
      <w:pPr>
        <w:pStyle w:val="15"/>
        <w:jc w:val="left"/>
        <w:rPr>
          <w:color w:val="auto"/>
          <w:highlight w:val="none"/>
        </w:rPr>
      </w:pPr>
      <w:r>
        <w:rPr>
          <w:rFonts w:hint="eastAsia"/>
          <w:color w:val="auto"/>
          <w:highlight w:val="none"/>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6D0E531F">
      <w:pPr>
        <w:spacing w:line="56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14:paraId="41695104">
      <w:pPr>
        <w:pStyle w:val="15"/>
        <w:jc w:val="left"/>
        <w:rPr>
          <w:color w:val="auto"/>
          <w:highlight w:val="none"/>
        </w:rPr>
      </w:pPr>
      <w:r>
        <w:rPr>
          <w:rFonts w:hint="eastAsia"/>
          <w:color w:val="auto"/>
          <w:highlight w:val="none"/>
        </w:rPr>
        <w:t>七、附件</w:t>
      </w:r>
    </w:p>
    <w:p w14:paraId="0C9D1723">
      <w:pPr>
        <w:pStyle w:val="15"/>
        <w:jc w:val="left"/>
        <w:rPr>
          <w:rFonts w:hint="default" w:eastAsia="仿宋_GB2312"/>
          <w:color w:val="auto"/>
          <w:highlight w:val="none"/>
          <w:lang w:val="en-US" w:eastAsia="zh-CN"/>
        </w:rPr>
      </w:pPr>
      <w:bookmarkStart w:id="77" w:name="OLE_LINK56"/>
      <w:r>
        <w:rPr>
          <w:rFonts w:hint="eastAsia"/>
          <w:color w:val="auto"/>
          <w:highlight w:val="none"/>
          <w:lang w:val="en-US" w:eastAsia="zh-CN"/>
        </w:rPr>
        <w:t>附件1：标段划分明细表</w:t>
      </w:r>
    </w:p>
    <w:bookmarkEnd w:id="77"/>
    <w:p w14:paraId="0858132B">
      <w:pPr>
        <w:pStyle w:val="15"/>
        <w:jc w:val="left"/>
        <w:rPr>
          <w:color w:val="auto"/>
          <w:highlight w:val="none"/>
        </w:rPr>
      </w:pPr>
      <w:r>
        <w:rPr>
          <w:rFonts w:hint="eastAsia"/>
          <w:color w:val="auto"/>
          <w:highlight w:val="none"/>
        </w:rPr>
        <w:t>附件</w:t>
      </w:r>
      <w:r>
        <w:rPr>
          <w:rFonts w:hint="eastAsia"/>
          <w:color w:val="auto"/>
          <w:highlight w:val="none"/>
          <w:lang w:val="en-US" w:eastAsia="zh-CN"/>
        </w:rPr>
        <w:t>2</w:t>
      </w:r>
      <w:r>
        <w:rPr>
          <w:rFonts w:hint="eastAsia"/>
          <w:color w:val="auto"/>
          <w:highlight w:val="none"/>
        </w:rPr>
        <w:t>：</w:t>
      </w:r>
      <w:r>
        <w:rPr>
          <w:rFonts w:hint="eastAsia"/>
          <w:color w:val="auto"/>
          <w:highlight w:val="none"/>
          <w:lang w:val="en-US" w:eastAsia="zh-CN"/>
        </w:rPr>
        <w:t>绿化养护承包</w:t>
      </w:r>
      <w:r>
        <w:rPr>
          <w:rFonts w:hint="eastAsia"/>
          <w:color w:val="auto"/>
          <w:highlight w:val="none"/>
          <w:lang w:val="zh-CN"/>
        </w:rPr>
        <w:t>合同</w:t>
      </w:r>
    </w:p>
    <w:p w14:paraId="39E88BEC">
      <w:pPr>
        <w:pStyle w:val="15"/>
        <w:rPr>
          <w:color w:val="auto"/>
          <w:highlight w:val="none"/>
        </w:rPr>
      </w:pPr>
      <w:r>
        <w:rPr>
          <w:rFonts w:hint="eastAsia" w:ascii="仿宋" w:hAnsi="仿宋" w:eastAsia="仿宋" w:cs="仿宋"/>
          <w:color w:val="auto"/>
          <w:highlight w:val="none"/>
        </w:rPr>
        <w:br w:type="page"/>
      </w:r>
      <w:bookmarkStart w:id="78" w:name="OLE_LINK84"/>
      <w:r>
        <w:rPr>
          <w:rFonts w:hint="eastAsia"/>
          <w:color w:val="auto"/>
          <w:highlight w:val="none"/>
        </w:rPr>
        <w:t>第二章 投标文件格式</w:t>
      </w:r>
      <w:bookmarkEnd w:id="78"/>
    </w:p>
    <w:p w14:paraId="35B81DDF">
      <w:pPr>
        <w:pStyle w:val="5"/>
        <w:spacing w:line="500" w:lineRule="exact"/>
        <w:ind w:left="420" w:leftChars="200" w:firstLine="0" w:firstLineChars="0"/>
        <w:jc w:val="center"/>
        <w:rPr>
          <w:rFonts w:ascii="仿宋_GB2312" w:hAnsi="仿宋_GB2312" w:eastAsia="仿宋_GB2312" w:cs="仿宋_GB2312"/>
          <w:b/>
          <w:bCs/>
          <w:color w:val="auto"/>
          <w:spacing w:val="24"/>
          <w:sz w:val="32"/>
          <w:szCs w:val="32"/>
          <w:highlight w:val="none"/>
        </w:rPr>
      </w:pPr>
    </w:p>
    <w:p w14:paraId="44D89E91">
      <w:pPr>
        <w:pStyle w:val="5"/>
        <w:spacing w:line="500" w:lineRule="exact"/>
        <w:ind w:left="420" w:leftChars="200" w:firstLine="0" w:firstLineChars="0"/>
        <w:jc w:val="center"/>
        <w:rPr>
          <w:rFonts w:ascii="仿宋_GB2312" w:hAnsi="仿宋_GB2312" w:eastAsia="仿宋_GB2312" w:cs="仿宋_GB2312"/>
          <w:b/>
          <w:bCs/>
          <w:color w:val="auto"/>
          <w:spacing w:val="24"/>
          <w:sz w:val="32"/>
          <w:szCs w:val="32"/>
          <w:highlight w:val="none"/>
        </w:rPr>
      </w:pPr>
      <w:r>
        <w:rPr>
          <w:rFonts w:hint="eastAsia" w:ascii="仿宋_GB2312" w:hAnsi="仿宋_GB2312" w:eastAsia="仿宋_GB2312" w:cs="仿宋_GB2312"/>
          <w:b/>
          <w:bCs/>
          <w:color w:val="auto"/>
          <w:spacing w:val="24"/>
          <w:sz w:val="32"/>
          <w:szCs w:val="32"/>
          <w:highlight w:val="none"/>
        </w:rPr>
        <w:t>投标文件外包封面</w:t>
      </w:r>
    </w:p>
    <w:p w14:paraId="45005B12">
      <w:pPr>
        <w:ind w:firstLine="643"/>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投标文件（正本）</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14:paraId="407C5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tcPr>
          <w:p w14:paraId="6A4F3EDF">
            <w:pPr>
              <w:rPr>
                <w:rFonts w:ascii="仿宋_GB2312" w:hAnsi="仿宋_GB2312" w:eastAsia="仿宋_GB2312" w:cs="仿宋_GB2312"/>
                <w:color w:val="auto"/>
                <w:kern w:val="0"/>
                <w:sz w:val="28"/>
                <w:szCs w:val="28"/>
                <w:highlight w:val="none"/>
              </w:rPr>
            </w:pPr>
          </w:p>
          <w:p w14:paraId="24F16269">
            <w:pPr>
              <w:rPr>
                <w:rFonts w:ascii="仿宋_GB2312" w:hAnsi="仿宋_GB2312" w:eastAsia="仿宋_GB2312" w:cs="仿宋_GB2312"/>
                <w:color w:val="auto"/>
                <w:kern w:val="0"/>
                <w:sz w:val="28"/>
                <w:szCs w:val="28"/>
                <w:highlight w:val="none"/>
              </w:rPr>
            </w:pPr>
          </w:p>
          <w:p w14:paraId="32529571">
            <w:pPr>
              <w:rPr>
                <w:rFonts w:ascii="仿宋_GB2312" w:hAnsi="仿宋_GB2312" w:eastAsia="仿宋_GB2312" w:cs="仿宋_GB2312"/>
                <w:color w:val="auto"/>
                <w:kern w:val="0"/>
                <w:sz w:val="28"/>
                <w:szCs w:val="28"/>
                <w:highlight w:val="none"/>
              </w:rPr>
            </w:pPr>
          </w:p>
          <w:p w14:paraId="691B9367">
            <w:pPr>
              <w:ind w:firstLine="640" w:firstLineChars="200"/>
              <w:rPr>
                <w:rFonts w:ascii="仿宋_GB2312" w:hAnsi="仿宋_GB2312" w:eastAsia="仿宋_GB2312" w:cs="仿宋_GB2312"/>
                <w:color w:val="auto"/>
                <w:kern w:val="0"/>
                <w:sz w:val="32"/>
                <w:szCs w:val="32"/>
                <w:highlight w:val="none"/>
                <w:u w:val="single"/>
              </w:rPr>
            </w:pPr>
            <w:r>
              <w:rPr>
                <w:rFonts w:hint="eastAsia" w:ascii="仿宋_GB2312" w:hAnsi="仿宋_GB2312" w:eastAsia="仿宋_GB2312" w:cs="仿宋_GB2312"/>
                <w:color w:val="auto"/>
                <w:kern w:val="0"/>
                <w:sz w:val="32"/>
                <w:szCs w:val="32"/>
                <w:highlight w:val="none"/>
              </w:rPr>
              <w:t>项目编号：</w:t>
            </w:r>
            <w:r>
              <w:rPr>
                <w:rFonts w:hint="eastAsia" w:ascii="仿宋_GB2312" w:hAnsi="仿宋_GB2312" w:eastAsia="仿宋_GB2312" w:cs="仿宋_GB2312"/>
                <w:color w:val="auto"/>
                <w:kern w:val="0"/>
                <w:sz w:val="32"/>
                <w:szCs w:val="32"/>
                <w:highlight w:val="none"/>
                <w:u w:val="single"/>
              </w:rPr>
              <w:t xml:space="preserve">                                    </w:t>
            </w:r>
          </w:p>
          <w:p w14:paraId="0323DCB2">
            <w:pPr>
              <w:ind w:firstLine="640" w:firstLineChars="200"/>
              <w:rPr>
                <w:rFonts w:ascii="仿宋_GB2312" w:hAnsi="仿宋_GB2312" w:eastAsia="仿宋_GB2312" w:cs="仿宋_GB2312"/>
                <w:color w:val="auto"/>
                <w:kern w:val="0"/>
                <w:sz w:val="32"/>
                <w:szCs w:val="32"/>
                <w:highlight w:val="none"/>
                <w:u w:val="single"/>
              </w:rPr>
            </w:pPr>
          </w:p>
          <w:p w14:paraId="39196635">
            <w:pPr>
              <w:ind w:firstLine="640" w:firstLineChars="200"/>
              <w:rPr>
                <w:rFonts w:ascii="仿宋_GB2312" w:hAnsi="仿宋_GB2312" w:eastAsia="仿宋_GB2312" w:cs="仿宋_GB2312"/>
                <w:color w:val="auto"/>
                <w:kern w:val="0"/>
                <w:sz w:val="32"/>
                <w:szCs w:val="32"/>
                <w:highlight w:val="none"/>
                <w:u w:val="single"/>
              </w:rPr>
            </w:pPr>
            <w:r>
              <w:rPr>
                <w:rFonts w:hint="eastAsia" w:ascii="仿宋_GB2312" w:hAnsi="仿宋_GB2312" w:eastAsia="仿宋_GB2312" w:cs="仿宋_GB2312"/>
                <w:color w:val="auto"/>
                <w:kern w:val="0"/>
                <w:sz w:val="32"/>
                <w:szCs w:val="32"/>
                <w:highlight w:val="none"/>
              </w:rPr>
              <w:t>招标单位：</w:t>
            </w:r>
            <w:r>
              <w:rPr>
                <w:rFonts w:hint="eastAsia" w:ascii="仿宋_GB2312" w:hAnsi="仿宋_GB2312" w:eastAsia="仿宋_GB2312" w:cs="仿宋_GB2312"/>
                <w:color w:val="auto"/>
                <w:kern w:val="0"/>
                <w:sz w:val="32"/>
                <w:szCs w:val="32"/>
                <w:highlight w:val="none"/>
                <w:u w:val="single"/>
              </w:rPr>
              <w:t xml:space="preserve">                                    </w:t>
            </w:r>
          </w:p>
          <w:p w14:paraId="77C6F284">
            <w:pPr>
              <w:ind w:firstLine="960" w:firstLineChars="300"/>
              <w:rPr>
                <w:rFonts w:ascii="仿宋_GB2312" w:hAnsi="仿宋_GB2312" w:eastAsia="仿宋_GB2312" w:cs="仿宋_GB2312"/>
                <w:color w:val="auto"/>
                <w:kern w:val="0"/>
                <w:sz w:val="32"/>
                <w:szCs w:val="32"/>
                <w:highlight w:val="none"/>
                <w:u w:val="single"/>
              </w:rPr>
            </w:pPr>
          </w:p>
          <w:p w14:paraId="5C946083">
            <w:pPr>
              <w:ind w:firstLine="640" w:firstLineChars="200"/>
              <w:rPr>
                <w:rFonts w:ascii="仿宋_GB2312" w:hAnsi="仿宋_GB2312" w:eastAsia="仿宋_GB2312" w:cs="仿宋_GB2312"/>
                <w:color w:val="auto"/>
                <w:kern w:val="0"/>
                <w:sz w:val="32"/>
                <w:szCs w:val="32"/>
                <w:highlight w:val="none"/>
                <w:u w:val="single"/>
              </w:rPr>
            </w:pPr>
            <w:r>
              <w:rPr>
                <w:rFonts w:hint="eastAsia" w:ascii="仿宋_GB2312" w:hAnsi="仿宋_GB2312" w:eastAsia="仿宋_GB2312" w:cs="仿宋_GB2312"/>
                <w:color w:val="auto"/>
                <w:kern w:val="0"/>
                <w:sz w:val="32"/>
                <w:szCs w:val="32"/>
                <w:highlight w:val="none"/>
              </w:rPr>
              <w:t>工程名称：</w:t>
            </w:r>
            <w:r>
              <w:rPr>
                <w:rFonts w:hint="eastAsia" w:ascii="仿宋_GB2312" w:hAnsi="仿宋_GB2312" w:eastAsia="仿宋_GB2312" w:cs="仿宋_GB2312"/>
                <w:color w:val="auto"/>
                <w:kern w:val="0"/>
                <w:sz w:val="32"/>
                <w:szCs w:val="32"/>
                <w:highlight w:val="none"/>
                <w:u w:val="single"/>
              </w:rPr>
              <w:t xml:space="preserve">                                    </w:t>
            </w:r>
          </w:p>
          <w:p w14:paraId="5A4AD84D">
            <w:pPr>
              <w:rPr>
                <w:rFonts w:ascii="仿宋_GB2312" w:hAnsi="仿宋_GB2312" w:eastAsia="仿宋_GB2312" w:cs="仿宋_GB2312"/>
                <w:color w:val="auto"/>
                <w:kern w:val="0"/>
                <w:sz w:val="32"/>
                <w:szCs w:val="32"/>
                <w:highlight w:val="none"/>
              </w:rPr>
            </w:pPr>
          </w:p>
          <w:p w14:paraId="3FA56545">
            <w:pPr>
              <w:ind w:firstLine="640" w:firstLineChars="200"/>
              <w:rPr>
                <w:rFonts w:ascii="仿宋_GB2312" w:hAnsi="仿宋_GB2312" w:eastAsia="仿宋_GB2312" w:cs="仿宋_GB2312"/>
                <w:color w:val="auto"/>
                <w:kern w:val="0"/>
                <w:sz w:val="32"/>
                <w:szCs w:val="32"/>
                <w:highlight w:val="none"/>
                <w:u w:val="single"/>
              </w:rPr>
            </w:pPr>
            <w:r>
              <w:rPr>
                <w:rFonts w:hint="eastAsia" w:ascii="仿宋_GB2312" w:hAnsi="仿宋_GB2312" w:eastAsia="仿宋_GB2312" w:cs="仿宋_GB2312"/>
                <w:color w:val="auto"/>
                <w:kern w:val="0"/>
                <w:sz w:val="32"/>
                <w:szCs w:val="32"/>
                <w:highlight w:val="none"/>
              </w:rPr>
              <w:t>投标日期</w:t>
            </w:r>
            <w:r>
              <w:rPr>
                <w:rFonts w:hint="eastAsia" w:ascii="仿宋_GB2312" w:hAnsi="仿宋_GB2312" w:eastAsia="仿宋_GB2312" w:cs="仿宋_GB2312"/>
                <w:color w:val="auto"/>
                <w:kern w:val="0"/>
                <w:sz w:val="32"/>
                <w:szCs w:val="32"/>
                <w:highlight w:val="none"/>
                <w:u w:val="single"/>
              </w:rPr>
              <w:t xml:space="preserve">：                年    月     日     </w:t>
            </w:r>
          </w:p>
          <w:p w14:paraId="042CA7C2">
            <w:pPr>
              <w:ind w:firstLine="643"/>
              <w:rPr>
                <w:rFonts w:ascii="仿宋_GB2312" w:hAnsi="仿宋_GB2312" w:eastAsia="仿宋_GB2312" w:cs="仿宋_GB2312"/>
                <w:color w:val="auto"/>
                <w:kern w:val="0"/>
                <w:sz w:val="32"/>
                <w:szCs w:val="32"/>
                <w:highlight w:val="none"/>
              </w:rPr>
            </w:pPr>
          </w:p>
          <w:p w14:paraId="1D93A2F8">
            <w:pPr>
              <w:ind w:firstLine="4640" w:firstLineChars="145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投 标 单 位：（盖     章）</w:t>
            </w:r>
          </w:p>
          <w:p w14:paraId="187607BC">
            <w:pPr>
              <w:ind w:firstLine="4640" w:firstLineChars="145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法定代表人：（签字或盖章）</w:t>
            </w:r>
          </w:p>
          <w:p w14:paraId="0577E165">
            <w:pPr>
              <w:ind w:firstLine="4640" w:firstLineChars="145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地    址：</w:t>
            </w:r>
          </w:p>
          <w:p w14:paraId="02D49A88">
            <w:pPr>
              <w:ind w:firstLine="4640" w:firstLineChars="145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联系电话：</w:t>
            </w:r>
          </w:p>
          <w:p w14:paraId="363E9C64">
            <w:pPr>
              <w:ind w:firstLine="4640" w:firstLineChars="145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邮政编码：</w:t>
            </w:r>
          </w:p>
          <w:p w14:paraId="668CF985">
            <w:pPr>
              <w:rPr>
                <w:rFonts w:ascii="仿宋_GB2312" w:hAnsi="仿宋_GB2312" w:eastAsia="仿宋_GB2312" w:cs="仿宋_GB2312"/>
                <w:color w:val="auto"/>
                <w:kern w:val="0"/>
                <w:sz w:val="28"/>
                <w:szCs w:val="28"/>
                <w:highlight w:val="none"/>
              </w:rPr>
            </w:pPr>
          </w:p>
        </w:tc>
      </w:tr>
    </w:tbl>
    <w:p w14:paraId="256A229E">
      <w:pPr>
        <w:pStyle w:val="15"/>
        <w:rPr>
          <w:color w:val="auto"/>
          <w:highlight w:val="none"/>
        </w:rPr>
      </w:pPr>
      <w:r>
        <w:rPr>
          <w:rFonts w:hint="eastAsia"/>
          <w:color w:val="auto"/>
          <w:highlight w:val="none"/>
        </w:rPr>
        <w:t>投 标 函</w:t>
      </w:r>
    </w:p>
    <w:p w14:paraId="712CA45C">
      <w:pPr>
        <w:spacing w:line="560" w:lineRule="exact"/>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致：</w:t>
      </w:r>
      <w:r>
        <w:rPr>
          <w:rFonts w:hint="eastAsia" w:ascii="仿宋_GB2312" w:hAnsi="仿宋_GB2312" w:eastAsia="仿宋_GB2312" w:cs="仿宋_GB2312"/>
          <w:color w:val="auto"/>
          <w:sz w:val="28"/>
          <w:szCs w:val="28"/>
          <w:highlight w:val="none"/>
          <w:u w:val="single"/>
        </w:rPr>
        <w:t xml:space="preserve">湖州南浔城投城市建设集团有限公司 </w:t>
      </w:r>
    </w:p>
    <w:p w14:paraId="71E26F30">
      <w:pPr>
        <w:numPr>
          <w:ilvl w:val="0"/>
          <w:numId w:val="2"/>
        </w:numPr>
        <w:tabs>
          <w:tab w:val="left" w:pos="7560"/>
        </w:tabs>
        <w:spacing w:line="560" w:lineRule="exact"/>
        <w:ind w:firstLine="562"/>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根据你方招标工程项目编号为</w:t>
      </w:r>
      <w:r>
        <w:rPr>
          <w:rFonts w:hint="eastAsia" w:ascii="仿宋_GB2312" w:hAnsi="仿宋_GB2312" w:eastAsia="仿宋_GB2312" w:cs="仿宋_GB2312"/>
          <w:color w:val="auto"/>
          <w:sz w:val="28"/>
          <w:szCs w:val="28"/>
          <w:highlight w:val="none"/>
          <w:u w:val="single"/>
        </w:rPr>
        <w:t xml:space="preserve">  {项目编号}  </w:t>
      </w:r>
      <w:r>
        <w:rPr>
          <w:rFonts w:hint="eastAsia" w:ascii="仿宋_GB2312" w:hAnsi="仿宋_GB2312" w:eastAsia="仿宋_GB2312" w:cs="仿宋_GB2312"/>
          <w:color w:val="auto"/>
          <w:sz w:val="28"/>
          <w:szCs w:val="28"/>
          <w:highlight w:val="none"/>
        </w:rPr>
        <w:t>的</w:t>
      </w:r>
      <w:r>
        <w:rPr>
          <w:rFonts w:hint="eastAsia" w:ascii="仿宋_GB2312" w:hAnsi="仿宋_GB2312" w:eastAsia="仿宋_GB2312" w:cs="仿宋_GB2312"/>
          <w:color w:val="auto"/>
          <w:sz w:val="28"/>
          <w:szCs w:val="28"/>
          <w:highlight w:val="none"/>
          <w:u w:val="single"/>
        </w:rPr>
        <w:t xml:space="preserve">  {招标工程项目名称}  </w:t>
      </w:r>
      <w:r>
        <w:rPr>
          <w:rFonts w:hint="eastAsia" w:ascii="仿宋_GB2312" w:hAnsi="仿宋_GB2312" w:eastAsia="仿宋_GB2312" w:cs="仿宋_GB2312"/>
          <w:color w:val="auto"/>
          <w:sz w:val="28"/>
          <w:szCs w:val="28"/>
          <w:highlight w:val="none"/>
        </w:rPr>
        <w:t>工程招标文件，遵照《中华人民共和国招标投标法》等有关规定，经踏勘项目现场和研究上述招标文件的投标须知、合同条款、图纸、工程建设标准及其他有关文件后，</w:t>
      </w:r>
      <w:r>
        <w:rPr>
          <w:rFonts w:hint="eastAsia" w:ascii="仿宋_GB2312" w:hAnsi="仿宋_GB2312" w:eastAsia="仿宋_GB2312" w:cs="仿宋_GB2312"/>
          <w:b/>
          <w:color w:val="auto"/>
          <w:sz w:val="28"/>
          <w:szCs w:val="28"/>
          <w:highlight w:val="none"/>
        </w:rPr>
        <w:t>我方愿以</w:t>
      </w:r>
      <w:r>
        <w:rPr>
          <w:rFonts w:hint="eastAsia" w:ascii="仿宋" w:hAnsi="仿宋" w:eastAsia="仿宋" w:cs="仿宋_GB2312"/>
          <w:b/>
          <w:color w:val="auto"/>
          <w:sz w:val="28"/>
          <w:szCs w:val="28"/>
          <w:highlight w:val="none"/>
        </w:rPr>
        <w:t>【投标</w:t>
      </w:r>
      <w:bookmarkStart w:id="79" w:name="OLE_LINK4"/>
      <w:r>
        <w:rPr>
          <w:rFonts w:hint="eastAsia" w:ascii="仿宋" w:hAnsi="仿宋" w:eastAsia="仿宋" w:cs="仿宋_GB2312"/>
          <w:b/>
          <w:color w:val="auto"/>
          <w:sz w:val="28"/>
          <w:szCs w:val="28"/>
          <w:highlight w:val="none"/>
          <w:lang w:eastAsia="zh-CN"/>
        </w:rPr>
        <w:t>报价：</w:t>
      </w:r>
      <w:r>
        <w:rPr>
          <w:rFonts w:hint="eastAsia" w:ascii="仿宋" w:hAnsi="仿宋" w:eastAsia="仿宋" w:cs="仿宋_GB2312"/>
          <w:b/>
          <w:color w:val="auto"/>
          <w:sz w:val="28"/>
          <w:szCs w:val="28"/>
          <w:highlight w:val="none"/>
          <w:lang w:val="en-US" w:eastAsia="zh-CN"/>
        </w:rPr>
        <w:t>运营养护管理费</w:t>
      </w:r>
      <w:bookmarkStart w:id="80" w:name="OLE_LINK17"/>
      <w:r>
        <w:rPr>
          <w:rFonts w:hint="eastAsia" w:ascii="仿宋" w:hAnsi="仿宋" w:eastAsia="仿宋" w:cs="仿宋_GB2312"/>
          <w:b/>
          <w:color w:val="auto"/>
          <w:sz w:val="28"/>
          <w:szCs w:val="28"/>
          <w:highlight w:val="none"/>
          <w:lang w:val="en-US" w:eastAsia="zh-CN"/>
        </w:rPr>
        <w:t>：</w:t>
      </w:r>
      <w:r>
        <w:rPr>
          <w:rFonts w:hint="eastAsia" w:ascii="仿宋" w:hAnsi="仿宋" w:eastAsia="仿宋" w:cs="仿宋_GB2312"/>
          <w:b/>
          <w:color w:val="auto"/>
          <w:sz w:val="28"/>
          <w:szCs w:val="28"/>
          <w:highlight w:val="none"/>
          <w:u w:val="single"/>
        </w:rPr>
        <w:t xml:space="preserve">    </w:t>
      </w:r>
      <w:bookmarkStart w:id="81" w:name="OLE_LINK31"/>
      <w:r>
        <w:rPr>
          <w:rFonts w:hint="eastAsia" w:ascii="仿宋" w:hAnsi="仿宋" w:eastAsia="仿宋" w:cs="仿宋_GB2312"/>
          <w:b/>
          <w:color w:val="auto"/>
          <w:sz w:val="28"/>
          <w:szCs w:val="28"/>
          <w:highlight w:val="none"/>
          <w:u w:val="single"/>
          <w:lang w:val="en-US" w:eastAsia="zh-CN"/>
        </w:rPr>
        <w:t xml:space="preserve">  </w:t>
      </w:r>
      <w:bookmarkEnd w:id="80"/>
      <w:bookmarkEnd w:id="81"/>
      <w:r>
        <w:rPr>
          <w:rFonts w:hint="eastAsia" w:ascii="仿宋" w:hAnsi="仿宋" w:eastAsia="仿宋" w:cs="仿宋_GB2312"/>
          <w:b/>
          <w:color w:val="auto"/>
          <w:sz w:val="28"/>
          <w:szCs w:val="28"/>
          <w:highlight w:val="none"/>
          <w:u w:val="single"/>
          <w:lang w:val="en-US" w:eastAsia="zh-CN"/>
        </w:rPr>
        <w:t xml:space="preserve">  </w:t>
      </w:r>
    </w:p>
    <w:p w14:paraId="101E341E">
      <w:pPr>
        <w:numPr>
          <w:ilvl w:val="-1"/>
          <w:numId w:val="0"/>
        </w:numPr>
        <w:tabs>
          <w:tab w:val="left" w:pos="7560"/>
        </w:tabs>
        <w:spacing w:line="560" w:lineRule="exact"/>
        <w:ind w:firstLine="0" w:firstLineChars="0"/>
        <w:rPr>
          <w:rFonts w:ascii="仿宋_GB2312" w:hAnsi="仿宋_GB2312" w:eastAsia="仿宋_GB2312" w:cs="仿宋_GB2312"/>
          <w:color w:val="auto"/>
          <w:sz w:val="28"/>
          <w:szCs w:val="28"/>
          <w:highlight w:val="none"/>
        </w:rPr>
      </w:pPr>
      <w:r>
        <w:rPr>
          <w:rFonts w:hint="eastAsia" w:ascii="仿宋" w:hAnsi="仿宋" w:eastAsia="仿宋" w:cs="仿宋_GB2312"/>
          <w:b/>
          <w:color w:val="auto"/>
          <w:sz w:val="28"/>
          <w:szCs w:val="28"/>
          <w:highlight w:val="none"/>
          <w:u w:val="single"/>
          <w:lang w:val="en-US" w:eastAsia="zh-CN"/>
        </w:rPr>
        <w:t xml:space="preserve">     元/m2·年</w:t>
      </w:r>
      <w:r>
        <w:rPr>
          <w:rFonts w:hint="eastAsia" w:ascii="仿宋" w:hAnsi="仿宋" w:eastAsia="仿宋" w:cs="仿宋_GB2312"/>
          <w:b/>
          <w:color w:val="auto"/>
          <w:sz w:val="28"/>
          <w:szCs w:val="28"/>
          <w:highlight w:val="none"/>
          <w:u w:val="none"/>
          <w:lang w:eastAsia="zh-CN"/>
        </w:rPr>
        <w:t>；</w:t>
      </w:r>
      <w:bookmarkStart w:id="82" w:name="OLE_LINK33"/>
      <w:r>
        <w:rPr>
          <w:rFonts w:hint="eastAsia" w:ascii="仿宋" w:hAnsi="仿宋" w:eastAsia="仿宋" w:cs="仿宋_GB2312"/>
          <w:b/>
          <w:color w:val="auto"/>
          <w:sz w:val="28"/>
          <w:szCs w:val="28"/>
          <w:highlight w:val="none"/>
          <w:u w:val="none"/>
          <w:lang w:val="en-US" w:eastAsia="zh-CN"/>
        </w:rPr>
        <w:t>安全应急处置费</w:t>
      </w:r>
      <w:r>
        <w:rPr>
          <w:rFonts w:hint="eastAsia" w:ascii="仿宋" w:hAnsi="仿宋" w:eastAsia="仿宋" w:cs="仿宋_GB2312"/>
          <w:b/>
          <w:color w:val="auto"/>
          <w:sz w:val="28"/>
          <w:szCs w:val="28"/>
          <w:highlight w:val="none"/>
          <w:lang w:val="en-US" w:eastAsia="zh-CN"/>
        </w:rPr>
        <w:t>：</w:t>
      </w:r>
      <w:r>
        <w:rPr>
          <w:rFonts w:hint="eastAsia" w:ascii="仿宋" w:hAnsi="仿宋" w:eastAsia="仿宋" w:cs="仿宋_GB2312"/>
          <w:b/>
          <w:color w:val="auto"/>
          <w:sz w:val="28"/>
          <w:szCs w:val="28"/>
          <w:highlight w:val="none"/>
          <w:u w:val="none"/>
          <w:lang w:val="en-US" w:eastAsia="zh-CN"/>
        </w:rPr>
        <w:t>下浮率</w:t>
      </w:r>
      <w:r>
        <w:rPr>
          <w:rFonts w:hint="eastAsia" w:ascii="仿宋" w:hAnsi="仿宋" w:eastAsia="仿宋" w:cs="仿宋_GB2312"/>
          <w:b/>
          <w:color w:val="auto"/>
          <w:sz w:val="28"/>
          <w:szCs w:val="28"/>
          <w:highlight w:val="none"/>
          <w:u w:val="single"/>
        </w:rPr>
        <w:t xml:space="preserve">    %</w:t>
      </w:r>
      <w:bookmarkEnd w:id="82"/>
      <w:r>
        <w:rPr>
          <w:rFonts w:hint="eastAsia" w:ascii="仿宋" w:hAnsi="仿宋" w:eastAsia="仿宋" w:cs="仿宋_GB2312"/>
          <w:b/>
          <w:color w:val="auto"/>
          <w:sz w:val="28"/>
          <w:szCs w:val="28"/>
          <w:highlight w:val="none"/>
        </w:rPr>
        <w:t>】</w:t>
      </w:r>
      <w:bookmarkEnd w:id="79"/>
      <w:r>
        <w:rPr>
          <w:rFonts w:hint="eastAsia" w:ascii="仿宋" w:hAnsi="仿宋" w:eastAsia="仿宋" w:cs="仿宋_GB2312"/>
          <w:color w:val="auto"/>
          <w:sz w:val="28"/>
          <w:szCs w:val="28"/>
          <w:highlight w:val="none"/>
        </w:rPr>
        <w:t>并按招标文</w:t>
      </w:r>
      <w:r>
        <w:rPr>
          <w:rFonts w:hint="eastAsia" w:ascii="仿宋_GB2312" w:hAnsi="仿宋_GB2312" w:eastAsia="仿宋_GB2312" w:cs="仿宋_GB2312"/>
          <w:color w:val="auto"/>
          <w:sz w:val="28"/>
          <w:szCs w:val="28"/>
          <w:highlight w:val="none"/>
        </w:rPr>
        <w:t>件要求承包上述工程的施工、竣工，并承担任何质量缺陷保修责任。</w:t>
      </w:r>
    </w:p>
    <w:p w14:paraId="547E399B">
      <w:pPr>
        <w:spacing w:line="560" w:lineRule="exact"/>
        <w:ind w:firstLine="562"/>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2、我方已详细审核全部招标文件，包括修改文件及有关附件。</w:t>
      </w:r>
    </w:p>
    <w:p w14:paraId="7F0685E2">
      <w:pPr>
        <w:spacing w:line="560" w:lineRule="exact"/>
        <w:ind w:firstLine="562"/>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3、我方承认投标函附录是我方投标函的组成部分。</w:t>
      </w:r>
    </w:p>
    <w:p w14:paraId="38272758">
      <w:pPr>
        <w:spacing w:line="560" w:lineRule="exact"/>
        <w:ind w:firstLine="562"/>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4、一旦我方中标，我方保证</w:t>
      </w:r>
      <w:r>
        <w:rPr>
          <w:rFonts w:hint="eastAsia" w:ascii="仿宋_GB2312" w:hAnsi="仿宋_GB2312" w:eastAsia="仿宋_GB2312" w:cs="仿宋_GB2312"/>
          <w:snapToGrid w:val="0"/>
          <w:color w:val="auto"/>
          <w:kern w:val="0"/>
          <w:sz w:val="28"/>
          <w:szCs w:val="28"/>
          <w:highlight w:val="none"/>
        </w:rPr>
        <w:t>在</w:t>
      </w:r>
      <w:r>
        <w:rPr>
          <w:rFonts w:hint="eastAsia" w:ascii="仿宋_GB2312" w:hAnsi="仿宋_GB2312" w:eastAsia="仿宋_GB2312" w:cs="仿宋_GB2312"/>
          <w:color w:val="auto"/>
          <w:sz w:val="28"/>
          <w:szCs w:val="28"/>
          <w:highlight w:val="none"/>
        </w:rPr>
        <w:t>招标人规定的工期内完成并移交全部工程。</w:t>
      </w:r>
    </w:p>
    <w:p w14:paraId="1BA21A8D">
      <w:pPr>
        <w:spacing w:line="560" w:lineRule="exact"/>
        <w:ind w:firstLine="562"/>
        <w:rPr>
          <w:rFonts w:ascii="仿宋_GB2312" w:hAnsi="仿宋_GB2312" w:eastAsia="仿宋_GB2312" w:cs="仿宋_GB2312"/>
          <w:color w:val="auto"/>
          <w:sz w:val="28"/>
          <w:szCs w:val="28"/>
          <w:highlight w:val="none"/>
        </w:rPr>
      </w:pPr>
      <w:r>
        <w:rPr>
          <w:rFonts w:hint="eastAsia" w:ascii="仿宋_GB2312" w:hAnsi="仿宋_GB2312" w:eastAsia="仿宋_GB2312" w:cs="仿宋_GB2312"/>
          <w:snapToGrid w:val="0"/>
          <w:color w:val="auto"/>
          <w:kern w:val="0"/>
          <w:sz w:val="28"/>
          <w:szCs w:val="28"/>
          <w:highlight w:val="none"/>
        </w:rPr>
        <w:t>5、如果我方中标，我方承诺工程质量达到的目标为：</w:t>
      </w:r>
      <w:r>
        <w:rPr>
          <w:rFonts w:hint="eastAsia" w:ascii="仿宋_GB2312" w:hAnsi="仿宋_GB2312" w:eastAsia="仿宋_GB2312" w:cs="仿宋_GB2312"/>
          <w:snapToGrid w:val="0"/>
          <w:color w:val="auto"/>
          <w:kern w:val="0"/>
          <w:sz w:val="28"/>
          <w:szCs w:val="28"/>
          <w:highlight w:val="none"/>
          <w:u w:val="single"/>
        </w:rPr>
        <w:t xml:space="preserve">              </w:t>
      </w:r>
      <w:r>
        <w:rPr>
          <w:rFonts w:hint="eastAsia" w:ascii="仿宋_GB2312" w:hAnsi="仿宋_GB2312" w:eastAsia="仿宋_GB2312" w:cs="仿宋_GB2312"/>
          <w:snapToGrid w:val="0"/>
          <w:color w:val="auto"/>
          <w:kern w:val="0"/>
          <w:sz w:val="28"/>
          <w:szCs w:val="28"/>
          <w:highlight w:val="none"/>
        </w:rPr>
        <w:t>。</w:t>
      </w:r>
    </w:p>
    <w:p w14:paraId="7E94EBF7">
      <w:pPr>
        <w:snapToGrid w:val="0"/>
        <w:spacing w:line="560" w:lineRule="exact"/>
        <w:ind w:firstLine="560" w:firstLineChars="200"/>
        <w:rPr>
          <w:rFonts w:ascii="仿宋_GB2312" w:hAnsi="仿宋_GB2312" w:eastAsia="仿宋_GB2312" w:cs="仿宋_GB2312"/>
          <w:snapToGrid w:val="0"/>
          <w:color w:val="auto"/>
          <w:kern w:val="0"/>
          <w:sz w:val="28"/>
          <w:szCs w:val="28"/>
          <w:highlight w:val="none"/>
          <w:u w:val="single"/>
        </w:rPr>
      </w:pPr>
      <w:r>
        <w:rPr>
          <w:rFonts w:hint="eastAsia" w:ascii="仿宋_GB2312" w:hAnsi="仿宋_GB2312" w:eastAsia="仿宋_GB2312" w:cs="仿宋_GB2312"/>
          <w:snapToGrid w:val="0"/>
          <w:color w:val="auto"/>
          <w:kern w:val="0"/>
          <w:sz w:val="28"/>
          <w:szCs w:val="28"/>
          <w:highlight w:val="none"/>
        </w:rPr>
        <w:t>6、如果我方中标，将按中标通知书中规定的日期与贵方签订承包合同，并承担承包单位的一切义务和责任。</w:t>
      </w:r>
    </w:p>
    <w:p w14:paraId="06A8788C">
      <w:pPr>
        <w:spacing w:line="560" w:lineRule="exact"/>
        <w:ind w:firstLine="562"/>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7、我方同意所提交的投标文件在招标文件规定的投标有效期内有效，在此期间内如果中标，我方将受此约束。</w:t>
      </w:r>
    </w:p>
    <w:p w14:paraId="18078D76">
      <w:pPr>
        <w:spacing w:line="560" w:lineRule="exact"/>
        <w:ind w:firstLine="562"/>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8、除非另外达成协议并生效，你方的中标通知书和本投标文件将成为约束双方的合同文件的组成部分。</w:t>
      </w:r>
    </w:p>
    <w:p w14:paraId="6B01CB10">
      <w:pPr>
        <w:spacing w:line="560" w:lineRule="exact"/>
        <w:ind w:firstLine="562" w:firstLineChars="200"/>
        <w:rPr>
          <w:rFonts w:ascii="仿宋_GB2312" w:hAnsi="仿宋_GB2312" w:eastAsia="仿宋_GB2312" w:cs="仿宋_GB2312"/>
          <w:snapToGrid w:val="0"/>
          <w:color w:val="auto"/>
          <w:kern w:val="0"/>
          <w:sz w:val="28"/>
          <w:szCs w:val="28"/>
          <w:highlight w:val="none"/>
          <w:u w:val="single"/>
        </w:rPr>
      </w:pPr>
      <w:r>
        <w:rPr>
          <w:rFonts w:hint="eastAsia" w:ascii="仿宋_GB2312" w:hAnsi="仿宋_GB2312" w:eastAsia="仿宋_GB2312" w:cs="仿宋_GB2312"/>
          <w:b/>
          <w:bCs/>
          <w:snapToGrid w:val="0"/>
          <w:color w:val="auto"/>
          <w:kern w:val="0"/>
          <w:sz w:val="28"/>
          <w:szCs w:val="28"/>
          <w:highlight w:val="none"/>
          <w:u w:val="single"/>
          <w:lang w:val="en-US" w:eastAsia="zh-CN"/>
        </w:rPr>
        <w:t>9</w:t>
      </w:r>
      <w:r>
        <w:rPr>
          <w:rFonts w:hint="eastAsia" w:ascii="仿宋_GB2312" w:hAnsi="仿宋_GB2312" w:eastAsia="仿宋_GB2312" w:cs="仿宋_GB2312"/>
          <w:b/>
          <w:bCs/>
          <w:snapToGrid w:val="0"/>
          <w:color w:val="auto"/>
          <w:kern w:val="0"/>
          <w:sz w:val="28"/>
          <w:szCs w:val="28"/>
          <w:highlight w:val="none"/>
          <w:u w:val="single"/>
        </w:rPr>
        <w:t>、我方承诺：</w:t>
      </w:r>
    </w:p>
    <w:p w14:paraId="2D162D13">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（1）我单位此次提交的投标文件等所有资料</w:t>
      </w:r>
      <w:r>
        <w:rPr>
          <w:rFonts w:hint="eastAsia" w:ascii="仿宋_GB2312" w:hAnsi="仿宋_GB2312" w:eastAsia="仿宋_GB2312" w:cs="仿宋_GB2312"/>
          <w:color w:val="auto"/>
          <w:sz w:val="28"/>
          <w:szCs w:val="28"/>
          <w:highlight w:val="none"/>
          <w:lang w:eastAsia="zh-Hans"/>
        </w:rPr>
        <w:t>（包括但不限于材料本身、签字、盖章等）</w:t>
      </w:r>
      <w:r>
        <w:rPr>
          <w:rFonts w:hint="eastAsia" w:ascii="仿宋_GB2312" w:hAnsi="仿宋_GB2312" w:eastAsia="仿宋_GB2312" w:cs="仿宋_GB2312"/>
          <w:color w:val="auto"/>
          <w:sz w:val="28"/>
          <w:szCs w:val="28"/>
          <w:highlight w:val="none"/>
        </w:rPr>
        <w:t>均真实有效的，如有不实，我单位自愿取消本项目投标资格，一旦中标，中标无效，接受招投标监管部门的行政处罚。</w:t>
      </w:r>
    </w:p>
    <w:p w14:paraId="48432715">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（2）将严格按照招投标文件、施工图纸、贵公司与业主签订的承包合同、其他相关文件、法律法规、以及贵公司制度管理要求，精心组织施工作业，保证本工程按期、达标完成并交付。</w:t>
      </w:r>
    </w:p>
    <w:p w14:paraId="13B4FA6D">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（3）将严格按照贵司及业主要求时间进场，不以任何理由为借口拖延进场时间，并承诺本工程按贵司要求的工期完工并交付。</w:t>
      </w:r>
    </w:p>
    <w:p w14:paraId="749C7D01">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我单位认可本工程招标程序及结果，并对自身投标报价负责，我单位承诺签订本承诺函后愿意承担如中途放弃本工程施工的违约责任，接受并承担由我单位原因造成的贵司的一切损失，完全服从贵司对我单位的一切处理。</w:t>
      </w:r>
    </w:p>
    <w:p w14:paraId="756D7F24">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14:paraId="2A863C94">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我单位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14:paraId="61B69FB6">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7）我单位保证安排的全部施工人员（农民工）参与考勤；保证不发生拖欠农民工工资报酬的行为、不发生农民工讨薪事件，如发生的，我单位将积极主动处理，否则贵司可以在未得到我单位同意的情况下先行垫付相关的所有费用，我单位对此予以认可，并同意由贵司在今后应支付给我单位的款项中直接扣除，且贵司有权选择取消我单位的入库资格并没收交纳的入库保证金。   </w:t>
      </w:r>
    </w:p>
    <w:p w14:paraId="5C12BA31">
      <w:pPr>
        <w:pStyle w:val="2"/>
        <w:ind w:firstLine="280"/>
        <w:rPr>
          <w:color w:val="auto"/>
          <w:sz w:val="28"/>
          <w:szCs w:val="28"/>
          <w:highlight w:val="none"/>
        </w:rPr>
      </w:pPr>
    </w:p>
    <w:p w14:paraId="365E0BBE">
      <w:pPr>
        <w:spacing w:line="560" w:lineRule="exact"/>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投 标 人：</w:t>
      </w:r>
      <w:r>
        <w:rPr>
          <w:rFonts w:hint="eastAsia" w:ascii="仿宋_GB2312" w:hAnsi="仿宋_GB2312" w:eastAsia="仿宋_GB2312" w:cs="仿宋_GB2312"/>
          <w:color w:val="auto"/>
          <w:sz w:val="28"/>
          <w:szCs w:val="28"/>
          <w:highlight w:val="none"/>
          <w:u w:val="single"/>
        </w:rPr>
        <w:t xml:space="preserve">                                （盖章）</w:t>
      </w:r>
    </w:p>
    <w:p w14:paraId="2C1F5CD3">
      <w:pPr>
        <w:spacing w:line="560" w:lineRule="exact"/>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单位地址：</w:t>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p>
    <w:p w14:paraId="04013AD1">
      <w:pPr>
        <w:spacing w:line="560" w:lineRule="exact"/>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法定代表人或其授权委托代理人：</w:t>
      </w:r>
      <w:r>
        <w:rPr>
          <w:rFonts w:hint="eastAsia" w:ascii="仿宋_GB2312" w:hAnsi="仿宋_GB2312" w:eastAsia="仿宋_GB2312" w:cs="仿宋_GB2312"/>
          <w:color w:val="auto"/>
          <w:sz w:val="28"/>
          <w:szCs w:val="28"/>
          <w:highlight w:val="none"/>
          <w:u w:val="single"/>
        </w:rPr>
        <w:t xml:space="preserve">            （签字或盖章）</w:t>
      </w:r>
    </w:p>
    <w:p w14:paraId="46123E51">
      <w:pPr>
        <w:spacing w:line="56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邮政编码：</w:t>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  电话：</w:t>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rPr>
        <w:t xml:space="preserve">  传真：</w:t>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rPr>
        <w:tab/>
      </w:r>
    </w:p>
    <w:p w14:paraId="52E09295">
      <w:pPr>
        <w:spacing w:line="560" w:lineRule="exact"/>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日期：   年   月   日</w:t>
      </w:r>
    </w:p>
    <w:p w14:paraId="1BF90D9E">
      <w:pPr>
        <w:pStyle w:val="6"/>
        <w:rPr>
          <w:rFonts w:ascii="仿宋" w:hAnsi="仿宋" w:eastAsia="仿宋" w:cs="仿宋"/>
          <w:color w:val="auto"/>
          <w:sz w:val="28"/>
          <w:szCs w:val="28"/>
          <w:highlight w:val="none"/>
          <w:lang w:eastAsia="zh-CN"/>
        </w:rPr>
      </w:pPr>
    </w:p>
    <w:p w14:paraId="1A299A60">
      <w:pPr>
        <w:pStyle w:val="4"/>
        <w:spacing w:line="360" w:lineRule="exact"/>
        <w:ind w:firstLine="560"/>
        <w:jc w:val="center"/>
        <w:rPr>
          <w:rFonts w:ascii="仿宋" w:hAnsi="仿宋" w:eastAsia="仿宋" w:cs="仿宋"/>
          <w:color w:val="auto"/>
          <w:sz w:val="28"/>
          <w:szCs w:val="28"/>
          <w:highlight w:val="none"/>
        </w:rPr>
      </w:pPr>
    </w:p>
    <w:p w14:paraId="78E8A35A">
      <w:pPr>
        <w:pStyle w:val="4"/>
        <w:spacing w:line="360" w:lineRule="exact"/>
        <w:ind w:firstLine="560"/>
        <w:jc w:val="center"/>
        <w:rPr>
          <w:rFonts w:ascii="仿宋" w:hAnsi="仿宋" w:eastAsia="仿宋" w:cs="仿宋"/>
          <w:color w:val="auto"/>
          <w:sz w:val="28"/>
          <w:szCs w:val="28"/>
          <w:highlight w:val="none"/>
        </w:rPr>
      </w:pPr>
      <w:r>
        <w:rPr>
          <w:rFonts w:hint="eastAsia" w:ascii="方正小标宋简体" w:hAnsi="方正小标宋简体" w:eastAsia="方正小标宋简体" w:cs="方正小标宋简体"/>
          <w:b w:val="0"/>
          <w:bCs w:val="0"/>
          <w:color w:val="auto"/>
          <w:sz w:val="28"/>
          <w:szCs w:val="28"/>
          <w:highlight w:val="none"/>
        </w:rPr>
        <w:br w:type="page"/>
      </w:r>
    </w:p>
    <w:p w14:paraId="45D8C395">
      <w:pPr>
        <w:pStyle w:val="4"/>
        <w:spacing w:before="0" w:after="0" w:line="560" w:lineRule="exact"/>
        <w:ind w:firstLine="640"/>
        <w:jc w:val="center"/>
        <w:rPr>
          <w:rFonts w:ascii="仿宋" w:hAnsi="仿宋" w:eastAsia="仿宋" w:cs="仿宋"/>
          <w:color w:val="auto"/>
          <w:highlight w:val="none"/>
        </w:rPr>
      </w:pPr>
      <w:r>
        <w:rPr>
          <w:rFonts w:hint="eastAsia" w:ascii="方正小标宋简体" w:hAnsi="方正小标宋简体" w:eastAsia="方正小标宋简体" w:cs="方正小标宋简体"/>
          <w:b w:val="0"/>
          <w:bCs w:val="0"/>
          <w:color w:val="auto"/>
          <w:highlight w:val="none"/>
        </w:rPr>
        <w:t>工商营业执照复印件</w:t>
      </w:r>
    </w:p>
    <w:p w14:paraId="775F83C0">
      <w:pPr>
        <w:pStyle w:val="13"/>
        <w:spacing w:line="360" w:lineRule="exact"/>
        <w:ind w:left="0" w:leftChars="0"/>
        <w:jc w:val="center"/>
        <w:rPr>
          <w:rFonts w:ascii="仿宋" w:hAnsi="仿宋" w:eastAsia="仿宋" w:cs="仿宋"/>
          <w:color w:val="auto"/>
          <w:sz w:val="28"/>
          <w:szCs w:val="28"/>
          <w:highlight w:val="none"/>
        </w:rPr>
      </w:pPr>
    </w:p>
    <w:p w14:paraId="74F63BDF">
      <w:pPr>
        <w:pStyle w:val="13"/>
        <w:spacing w:line="360" w:lineRule="exact"/>
        <w:ind w:left="0" w:leftChars="0"/>
        <w:jc w:val="center"/>
        <w:rPr>
          <w:rFonts w:ascii="仿宋" w:hAnsi="仿宋" w:eastAsia="仿宋" w:cs="仿宋"/>
          <w:color w:val="auto"/>
          <w:sz w:val="28"/>
          <w:szCs w:val="28"/>
          <w:highlight w:val="none"/>
        </w:rPr>
      </w:pPr>
    </w:p>
    <w:p w14:paraId="44706B0A">
      <w:pPr>
        <w:pStyle w:val="13"/>
        <w:spacing w:line="360" w:lineRule="exact"/>
        <w:ind w:left="0" w:leftChars="0"/>
        <w:jc w:val="center"/>
        <w:rPr>
          <w:rFonts w:ascii="仿宋" w:hAnsi="仿宋" w:eastAsia="仿宋" w:cs="仿宋"/>
          <w:color w:val="auto"/>
          <w:sz w:val="28"/>
          <w:szCs w:val="28"/>
          <w:highlight w:val="none"/>
        </w:rPr>
      </w:pPr>
    </w:p>
    <w:p w14:paraId="27C47507">
      <w:pPr>
        <w:pStyle w:val="13"/>
        <w:spacing w:line="360" w:lineRule="exact"/>
        <w:ind w:left="0" w:leftChars="0"/>
        <w:jc w:val="center"/>
        <w:rPr>
          <w:rFonts w:ascii="仿宋" w:hAnsi="仿宋" w:eastAsia="仿宋" w:cs="仿宋"/>
          <w:color w:val="auto"/>
          <w:sz w:val="28"/>
          <w:szCs w:val="28"/>
          <w:highlight w:val="none"/>
        </w:rPr>
      </w:pPr>
    </w:p>
    <w:p w14:paraId="1A6E27B6">
      <w:pPr>
        <w:pStyle w:val="13"/>
        <w:spacing w:line="360" w:lineRule="exact"/>
        <w:ind w:left="0" w:leftChars="0"/>
        <w:jc w:val="center"/>
        <w:rPr>
          <w:rFonts w:ascii="仿宋" w:hAnsi="仿宋" w:eastAsia="仿宋" w:cs="仿宋"/>
          <w:color w:val="auto"/>
          <w:sz w:val="28"/>
          <w:szCs w:val="28"/>
          <w:highlight w:val="none"/>
        </w:rPr>
      </w:pPr>
    </w:p>
    <w:p w14:paraId="424FC7C2">
      <w:pPr>
        <w:pStyle w:val="13"/>
        <w:spacing w:line="360" w:lineRule="exact"/>
        <w:ind w:left="0" w:leftChars="0"/>
        <w:jc w:val="center"/>
        <w:rPr>
          <w:rFonts w:ascii="仿宋" w:hAnsi="仿宋" w:eastAsia="仿宋" w:cs="仿宋"/>
          <w:color w:val="auto"/>
          <w:sz w:val="28"/>
          <w:szCs w:val="28"/>
          <w:highlight w:val="none"/>
        </w:rPr>
      </w:pPr>
    </w:p>
    <w:p w14:paraId="0DBFD2B8">
      <w:pPr>
        <w:pStyle w:val="13"/>
        <w:spacing w:line="360" w:lineRule="exact"/>
        <w:ind w:left="0" w:leftChars="0"/>
        <w:jc w:val="center"/>
        <w:rPr>
          <w:rFonts w:ascii="仿宋" w:hAnsi="仿宋" w:eastAsia="仿宋" w:cs="仿宋"/>
          <w:color w:val="auto"/>
          <w:sz w:val="28"/>
          <w:szCs w:val="28"/>
          <w:highlight w:val="none"/>
        </w:rPr>
      </w:pPr>
    </w:p>
    <w:p w14:paraId="3B986C39">
      <w:pPr>
        <w:pStyle w:val="13"/>
        <w:spacing w:line="360" w:lineRule="exact"/>
        <w:ind w:left="0" w:leftChars="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（正文内容）</w:t>
      </w:r>
    </w:p>
    <w:p w14:paraId="6F01A441">
      <w:pPr>
        <w:pStyle w:val="2"/>
        <w:spacing w:line="360" w:lineRule="exact"/>
        <w:ind w:firstLine="280"/>
        <w:rPr>
          <w:rFonts w:ascii="仿宋" w:hAnsi="仿宋" w:eastAsia="仿宋" w:cs="仿宋"/>
          <w:color w:val="auto"/>
          <w:sz w:val="28"/>
          <w:szCs w:val="28"/>
          <w:highlight w:val="none"/>
        </w:rPr>
      </w:pPr>
    </w:p>
    <w:p w14:paraId="2E4FA163">
      <w:pPr>
        <w:pStyle w:val="13"/>
        <w:spacing w:line="360" w:lineRule="exact"/>
        <w:rPr>
          <w:rFonts w:ascii="仿宋" w:hAnsi="仿宋" w:eastAsia="仿宋" w:cs="仿宋"/>
          <w:color w:val="auto"/>
          <w:sz w:val="28"/>
          <w:szCs w:val="28"/>
          <w:highlight w:val="none"/>
        </w:rPr>
      </w:pPr>
    </w:p>
    <w:p w14:paraId="21C67A13">
      <w:pPr>
        <w:spacing w:line="360" w:lineRule="exact"/>
        <w:rPr>
          <w:rFonts w:ascii="仿宋" w:hAnsi="仿宋" w:eastAsia="仿宋" w:cs="仿宋"/>
          <w:color w:val="auto"/>
          <w:sz w:val="28"/>
          <w:szCs w:val="28"/>
          <w:highlight w:val="none"/>
        </w:rPr>
      </w:pPr>
    </w:p>
    <w:p w14:paraId="06CBBBF9">
      <w:pPr>
        <w:pStyle w:val="2"/>
        <w:spacing w:line="360" w:lineRule="exact"/>
        <w:ind w:firstLine="280"/>
        <w:rPr>
          <w:rFonts w:ascii="仿宋" w:hAnsi="仿宋" w:eastAsia="仿宋" w:cs="仿宋"/>
          <w:color w:val="auto"/>
          <w:sz w:val="28"/>
          <w:szCs w:val="28"/>
          <w:highlight w:val="none"/>
        </w:rPr>
      </w:pPr>
    </w:p>
    <w:p w14:paraId="025014F9">
      <w:pPr>
        <w:pStyle w:val="13"/>
        <w:spacing w:line="360" w:lineRule="exact"/>
        <w:rPr>
          <w:rFonts w:ascii="仿宋" w:hAnsi="仿宋" w:eastAsia="仿宋" w:cs="仿宋"/>
          <w:color w:val="auto"/>
          <w:sz w:val="28"/>
          <w:szCs w:val="28"/>
          <w:highlight w:val="none"/>
        </w:rPr>
      </w:pPr>
    </w:p>
    <w:p w14:paraId="09134B23">
      <w:pPr>
        <w:spacing w:line="360" w:lineRule="exact"/>
        <w:rPr>
          <w:rFonts w:ascii="仿宋" w:hAnsi="仿宋" w:eastAsia="仿宋" w:cs="仿宋"/>
          <w:color w:val="auto"/>
          <w:sz w:val="28"/>
          <w:szCs w:val="28"/>
          <w:highlight w:val="none"/>
        </w:rPr>
      </w:pPr>
    </w:p>
    <w:p w14:paraId="604F2A29">
      <w:pPr>
        <w:pStyle w:val="2"/>
        <w:spacing w:line="360" w:lineRule="exact"/>
        <w:ind w:firstLine="280"/>
        <w:rPr>
          <w:rFonts w:ascii="仿宋" w:hAnsi="仿宋" w:eastAsia="仿宋" w:cs="仿宋"/>
          <w:color w:val="auto"/>
          <w:sz w:val="28"/>
          <w:szCs w:val="28"/>
          <w:highlight w:val="none"/>
        </w:rPr>
      </w:pPr>
    </w:p>
    <w:p w14:paraId="691BA12D">
      <w:pPr>
        <w:pStyle w:val="13"/>
        <w:spacing w:line="360" w:lineRule="exact"/>
        <w:rPr>
          <w:rFonts w:ascii="仿宋" w:hAnsi="仿宋" w:eastAsia="仿宋" w:cs="仿宋"/>
          <w:color w:val="auto"/>
          <w:sz w:val="28"/>
          <w:szCs w:val="28"/>
          <w:highlight w:val="none"/>
        </w:rPr>
      </w:pPr>
    </w:p>
    <w:p w14:paraId="283B611E">
      <w:pPr>
        <w:spacing w:line="360" w:lineRule="exact"/>
        <w:rPr>
          <w:rFonts w:ascii="仿宋" w:hAnsi="仿宋" w:eastAsia="仿宋" w:cs="仿宋"/>
          <w:color w:val="auto"/>
          <w:sz w:val="28"/>
          <w:szCs w:val="28"/>
          <w:highlight w:val="none"/>
        </w:rPr>
      </w:pPr>
    </w:p>
    <w:p w14:paraId="5592BA9C">
      <w:pPr>
        <w:pStyle w:val="2"/>
        <w:spacing w:line="360" w:lineRule="exact"/>
        <w:ind w:firstLine="280"/>
        <w:rPr>
          <w:rFonts w:ascii="仿宋" w:hAnsi="仿宋" w:eastAsia="仿宋" w:cs="仿宋"/>
          <w:color w:val="auto"/>
          <w:sz w:val="28"/>
          <w:szCs w:val="28"/>
          <w:highlight w:val="none"/>
        </w:rPr>
      </w:pPr>
    </w:p>
    <w:p w14:paraId="265AC08B">
      <w:pPr>
        <w:pStyle w:val="13"/>
        <w:spacing w:line="360" w:lineRule="exact"/>
        <w:rPr>
          <w:rFonts w:ascii="仿宋" w:hAnsi="仿宋" w:eastAsia="仿宋" w:cs="仿宋"/>
          <w:color w:val="auto"/>
          <w:sz w:val="28"/>
          <w:szCs w:val="28"/>
          <w:highlight w:val="none"/>
        </w:rPr>
      </w:pPr>
    </w:p>
    <w:p w14:paraId="4ACE8176">
      <w:pPr>
        <w:spacing w:line="360" w:lineRule="exact"/>
        <w:rPr>
          <w:rFonts w:ascii="仿宋" w:hAnsi="仿宋" w:eastAsia="仿宋" w:cs="仿宋"/>
          <w:color w:val="auto"/>
          <w:sz w:val="28"/>
          <w:szCs w:val="28"/>
          <w:highlight w:val="none"/>
        </w:rPr>
      </w:pPr>
    </w:p>
    <w:p w14:paraId="6CD72124">
      <w:pPr>
        <w:pStyle w:val="2"/>
        <w:spacing w:line="360" w:lineRule="exact"/>
        <w:ind w:firstLine="280"/>
        <w:rPr>
          <w:rFonts w:ascii="仿宋" w:hAnsi="仿宋" w:eastAsia="仿宋" w:cs="仿宋"/>
          <w:color w:val="auto"/>
          <w:sz w:val="28"/>
          <w:szCs w:val="28"/>
          <w:highlight w:val="none"/>
        </w:rPr>
      </w:pPr>
    </w:p>
    <w:p w14:paraId="2961E4BD">
      <w:pPr>
        <w:pStyle w:val="13"/>
        <w:spacing w:line="360" w:lineRule="exact"/>
        <w:rPr>
          <w:rFonts w:ascii="仿宋" w:hAnsi="仿宋" w:eastAsia="仿宋" w:cs="仿宋"/>
          <w:color w:val="auto"/>
          <w:sz w:val="28"/>
          <w:szCs w:val="28"/>
          <w:highlight w:val="none"/>
        </w:rPr>
      </w:pPr>
    </w:p>
    <w:p w14:paraId="26195079">
      <w:pPr>
        <w:spacing w:line="360" w:lineRule="exact"/>
        <w:rPr>
          <w:rFonts w:ascii="仿宋" w:hAnsi="仿宋" w:eastAsia="仿宋" w:cs="仿宋"/>
          <w:color w:val="auto"/>
          <w:sz w:val="28"/>
          <w:szCs w:val="28"/>
          <w:highlight w:val="none"/>
        </w:rPr>
      </w:pPr>
    </w:p>
    <w:p w14:paraId="3A5F605A">
      <w:pPr>
        <w:pStyle w:val="2"/>
        <w:spacing w:line="360" w:lineRule="exact"/>
        <w:ind w:firstLine="280"/>
        <w:rPr>
          <w:rFonts w:ascii="仿宋" w:hAnsi="仿宋" w:eastAsia="仿宋" w:cs="仿宋"/>
          <w:color w:val="auto"/>
          <w:sz w:val="28"/>
          <w:szCs w:val="28"/>
          <w:highlight w:val="none"/>
        </w:rPr>
      </w:pPr>
    </w:p>
    <w:p w14:paraId="415A34C4">
      <w:pPr>
        <w:pStyle w:val="13"/>
        <w:spacing w:line="360" w:lineRule="exact"/>
        <w:rPr>
          <w:rFonts w:ascii="仿宋" w:hAnsi="仿宋" w:eastAsia="仿宋" w:cs="仿宋"/>
          <w:color w:val="auto"/>
          <w:sz w:val="28"/>
          <w:szCs w:val="28"/>
          <w:highlight w:val="none"/>
        </w:rPr>
      </w:pPr>
    </w:p>
    <w:p w14:paraId="6E3B10F4">
      <w:pPr>
        <w:spacing w:before="0" w:after="0" w:line="560" w:lineRule="exact"/>
        <w:jc w:val="center"/>
        <w:rPr>
          <w:rFonts w:hint="eastAsia" w:ascii="方正小标宋简体" w:hAnsi="方正小标宋简体" w:eastAsia="方正小标宋简体" w:cs="方正小标宋简体"/>
          <w:b w:val="0"/>
          <w:bCs w:val="0"/>
          <w:color w:val="auto"/>
          <w:highlight w:val="none"/>
        </w:rPr>
      </w:pPr>
      <w:r>
        <w:rPr>
          <w:rFonts w:hint="eastAsia" w:ascii="方正小标宋简体" w:hAnsi="方正小标宋简体" w:eastAsia="方正小标宋简体" w:cs="方正小标宋简体"/>
          <w:b w:val="0"/>
          <w:bCs w:val="0"/>
          <w:color w:val="auto"/>
          <w:highlight w:val="none"/>
        </w:rPr>
        <w:br w:type="page"/>
      </w:r>
    </w:p>
    <w:p w14:paraId="49ACA93D">
      <w:pPr>
        <w:pStyle w:val="4"/>
        <w:spacing w:before="0" w:after="0" w:line="560" w:lineRule="exact"/>
        <w:ind w:firstLine="640"/>
        <w:jc w:val="center"/>
        <w:rPr>
          <w:rFonts w:ascii="仿宋" w:hAnsi="仿宋" w:eastAsia="仿宋" w:cs="仿宋"/>
          <w:color w:val="auto"/>
          <w:highlight w:val="none"/>
        </w:rPr>
      </w:pPr>
      <w:r>
        <w:rPr>
          <w:rFonts w:hint="eastAsia" w:ascii="方正小标宋简体" w:hAnsi="方正小标宋简体" w:eastAsia="方正小标宋简体" w:cs="方正小标宋简体"/>
          <w:b w:val="0"/>
          <w:bCs w:val="0"/>
          <w:color w:val="auto"/>
          <w:highlight w:val="none"/>
        </w:rPr>
        <w:t>资质证书复印件</w:t>
      </w:r>
    </w:p>
    <w:p w14:paraId="43003A6C">
      <w:pPr>
        <w:pStyle w:val="13"/>
        <w:spacing w:line="360" w:lineRule="exact"/>
        <w:ind w:left="0" w:leftChars="0"/>
        <w:jc w:val="center"/>
        <w:rPr>
          <w:rFonts w:ascii="仿宋" w:hAnsi="仿宋" w:eastAsia="仿宋" w:cs="仿宋"/>
          <w:color w:val="auto"/>
          <w:sz w:val="28"/>
          <w:szCs w:val="28"/>
          <w:highlight w:val="none"/>
        </w:rPr>
      </w:pPr>
    </w:p>
    <w:p w14:paraId="4CA743CE">
      <w:pPr>
        <w:pStyle w:val="13"/>
        <w:spacing w:line="360" w:lineRule="exact"/>
        <w:ind w:left="0" w:leftChars="0"/>
        <w:jc w:val="center"/>
        <w:rPr>
          <w:rFonts w:ascii="仿宋" w:hAnsi="仿宋" w:eastAsia="仿宋" w:cs="仿宋"/>
          <w:color w:val="auto"/>
          <w:sz w:val="28"/>
          <w:szCs w:val="28"/>
          <w:highlight w:val="none"/>
        </w:rPr>
      </w:pPr>
    </w:p>
    <w:p w14:paraId="66D349A0">
      <w:pPr>
        <w:pStyle w:val="13"/>
        <w:spacing w:line="360" w:lineRule="exact"/>
        <w:ind w:left="0" w:leftChars="0"/>
        <w:jc w:val="center"/>
        <w:rPr>
          <w:rFonts w:ascii="仿宋" w:hAnsi="仿宋" w:eastAsia="仿宋" w:cs="仿宋"/>
          <w:color w:val="auto"/>
          <w:sz w:val="28"/>
          <w:szCs w:val="28"/>
          <w:highlight w:val="none"/>
        </w:rPr>
      </w:pPr>
    </w:p>
    <w:p w14:paraId="5A0BC24D">
      <w:pPr>
        <w:pStyle w:val="13"/>
        <w:spacing w:line="360" w:lineRule="exact"/>
        <w:ind w:left="0" w:leftChars="0"/>
        <w:jc w:val="center"/>
        <w:rPr>
          <w:rFonts w:ascii="仿宋" w:hAnsi="仿宋" w:eastAsia="仿宋" w:cs="仿宋"/>
          <w:color w:val="auto"/>
          <w:sz w:val="28"/>
          <w:szCs w:val="28"/>
          <w:highlight w:val="none"/>
        </w:rPr>
      </w:pPr>
    </w:p>
    <w:p w14:paraId="0D636BC9">
      <w:pPr>
        <w:pStyle w:val="13"/>
        <w:spacing w:line="360" w:lineRule="exact"/>
        <w:ind w:left="0" w:leftChars="0"/>
        <w:jc w:val="center"/>
        <w:rPr>
          <w:rFonts w:ascii="仿宋" w:hAnsi="仿宋" w:eastAsia="仿宋" w:cs="仿宋"/>
          <w:color w:val="auto"/>
          <w:sz w:val="28"/>
          <w:szCs w:val="28"/>
          <w:highlight w:val="none"/>
        </w:rPr>
      </w:pPr>
    </w:p>
    <w:p w14:paraId="4365CF55">
      <w:pPr>
        <w:pStyle w:val="13"/>
        <w:spacing w:line="360" w:lineRule="exact"/>
        <w:ind w:left="0" w:leftChars="0"/>
        <w:jc w:val="center"/>
        <w:rPr>
          <w:rFonts w:ascii="仿宋" w:hAnsi="仿宋" w:eastAsia="仿宋" w:cs="仿宋"/>
          <w:color w:val="auto"/>
          <w:sz w:val="28"/>
          <w:szCs w:val="28"/>
          <w:highlight w:val="none"/>
        </w:rPr>
      </w:pPr>
    </w:p>
    <w:p w14:paraId="192AAAF6">
      <w:pPr>
        <w:pStyle w:val="13"/>
        <w:spacing w:line="360" w:lineRule="exact"/>
        <w:ind w:left="0" w:leftChars="0"/>
        <w:jc w:val="center"/>
        <w:rPr>
          <w:rFonts w:ascii="仿宋" w:hAnsi="仿宋" w:eastAsia="仿宋" w:cs="仿宋"/>
          <w:color w:val="auto"/>
          <w:sz w:val="28"/>
          <w:szCs w:val="28"/>
          <w:highlight w:val="none"/>
        </w:rPr>
      </w:pPr>
    </w:p>
    <w:p w14:paraId="14C45B8C">
      <w:pPr>
        <w:pStyle w:val="13"/>
        <w:spacing w:line="360" w:lineRule="exact"/>
        <w:ind w:left="0" w:leftChars="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（正文内容）</w:t>
      </w:r>
    </w:p>
    <w:p w14:paraId="414E7AFC">
      <w:pPr>
        <w:pStyle w:val="2"/>
        <w:spacing w:line="360" w:lineRule="exact"/>
        <w:ind w:firstLine="280"/>
        <w:rPr>
          <w:rFonts w:ascii="仿宋" w:hAnsi="仿宋" w:eastAsia="仿宋" w:cs="仿宋"/>
          <w:color w:val="auto"/>
          <w:sz w:val="28"/>
          <w:szCs w:val="28"/>
          <w:highlight w:val="none"/>
        </w:rPr>
      </w:pPr>
    </w:p>
    <w:p w14:paraId="7855150D">
      <w:pPr>
        <w:pStyle w:val="13"/>
        <w:spacing w:line="360" w:lineRule="exact"/>
        <w:rPr>
          <w:rFonts w:ascii="仿宋" w:hAnsi="仿宋" w:eastAsia="仿宋" w:cs="仿宋"/>
          <w:color w:val="auto"/>
          <w:sz w:val="28"/>
          <w:szCs w:val="28"/>
          <w:highlight w:val="none"/>
        </w:rPr>
      </w:pPr>
    </w:p>
    <w:p w14:paraId="72FE1486">
      <w:pPr>
        <w:spacing w:line="360" w:lineRule="exact"/>
        <w:rPr>
          <w:rFonts w:ascii="仿宋" w:hAnsi="仿宋" w:eastAsia="仿宋" w:cs="仿宋"/>
          <w:color w:val="auto"/>
          <w:sz w:val="28"/>
          <w:szCs w:val="28"/>
          <w:highlight w:val="none"/>
        </w:rPr>
      </w:pPr>
    </w:p>
    <w:p w14:paraId="34C595B1">
      <w:pPr>
        <w:pStyle w:val="2"/>
        <w:spacing w:line="360" w:lineRule="exact"/>
        <w:ind w:firstLine="280"/>
        <w:rPr>
          <w:rFonts w:ascii="仿宋" w:hAnsi="仿宋" w:eastAsia="仿宋" w:cs="仿宋"/>
          <w:color w:val="auto"/>
          <w:sz w:val="28"/>
          <w:szCs w:val="28"/>
          <w:highlight w:val="none"/>
        </w:rPr>
      </w:pPr>
    </w:p>
    <w:p w14:paraId="3C6F1199">
      <w:pPr>
        <w:pStyle w:val="13"/>
        <w:spacing w:line="360" w:lineRule="exact"/>
        <w:rPr>
          <w:rFonts w:ascii="仿宋" w:hAnsi="仿宋" w:eastAsia="仿宋" w:cs="仿宋"/>
          <w:color w:val="auto"/>
          <w:sz w:val="28"/>
          <w:szCs w:val="28"/>
          <w:highlight w:val="none"/>
        </w:rPr>
      </w:pPr>
    </w:p>
    <w:p w14:paraId="2E332BAB">
      <w:pPr>
        <w:spacing w:line="360" w:lineRule="exact"/>
        <w:rPr>
          <w:rFonts w:ascii="仿宋" w:hAnsi="仿宋" w:eastAsia="仿宋" w:cs="仿宋"/>
          <w:color w:val="auto"/>
          <w:sz w:val="28"/>
          <w:szCs w:val="28"/>
          <w:highlight w:val="none"/>
        </w:rPr>
      </w:pPr>
    </w:p>
    <w:p w14:paraId="4BE54BCF">
      <w:pPr>
        <w:pStyle w:val="2"/>
        <w:spacing w:line="360" w:lineRule="exact"/>
        <w:ind w:firstLine="280"/>
        <w:rPr>
          <w:rFonts w:ascii="仿宋" w:hAnsi="仿宋" w:eastAsia="仿宋" w:cs="仿宋"/>
          <w:color w:val="auto"/>
          <w:sz w:val="28"/>
          <w:szCs w:val="28"/>
          <w:highlight w:val="none"/>
        </w:rPr>
      </w:pPr>
    </w:p>
    <w:p w14:paraId="24FB9C14">
      <w:pPr>
        <w:pStyle w:val="13"/>
        <w:spacing w:line="360" w:lineRule="exact"/>
        <w:rPr>
          <w:rFonts w:ascii="仿宋" w:hAnsi="仿宋" w:eastAsia="仿宋" w:cs="仿宋"/>
          <w:color w:val="auto"/>
          <w:sz w:val="28"/>
          <w:szCs w:val="28"/>
          <w:highlight w:val="none"/>
        </w:rPr>
      </w:pPr>
    </w:p>
    <w:p w14:paraId="03CB1B08">
      <w:pPr>
        <w:spacing w:line="360" w:lineRule="exact"/>
        <w:rPr>
          <w:rFonts w:ascii="仿宋" w:hAnsi="仿宋" w:eastAsia="仿宋" w:cs="仿宋"/>
          <w:color w:val="auto"/>
          <w:sz w:val="28"/>
          <w:szCs w:val="28"/>
          <w:highlight w:val="none"/>
        </w:rPr>
      </w:pPr>
    </w:p>
    <w:p w14:paraId="3EFE67DF">
      <w:pPr>
        <w:pStyle w:val="2"/>
        <w:spacing w:line="360" w:lineRule="exact"/>
        <w:ind w:firstLine="280"/>
        <w:rPr>
          <w:rFonts w:ascii="仿宋" w:hAnsi="仿宋" w:eastAsia="仿宋" w:cs="仿宋"/>
          <w:color w:val="auto"/>
          <w:sz w:val="28"/>
          <w:szCs w:val="28"/>
          <w:highlight w:val="none"/>
        </w:rPr>
      </w:pPr>
    </w:p>
    <w:p w14:paraId="2BE35621">
      <w:pPr>
        <w:pStyle w:val="13"/>
        <w:spacing w:line="360" w:lineRule="exact"/>
        <w:rPr>
          <w:rFonts w:ascii="仿宋" w:hAnsi="仿宋" w:eastAsia="仿宋" w:cs="仿宋"/>
          <w:color w:val="auto"/>
          <w:sz w:val="28"/>
          <w:szCs w:val="28"/>
          <w:highlight w:val="none"/>
        </w:rPr>
      </w:pPr>
    </w:p>
    <w:p w14:paraId="7E9E012E">
      <w:pPr>
        <w:spacing w:line="360" w:lineRule="exact"/>
        <w:rPr>
          <w:rFonts w:ascii="仿宋" w:hAnsi="仿宋" w:eastAsia="仿宋" w:cs="仿宋"/>
          <w:color w:val="auto"/>
          <w:sz w:val="28"/>
          <w:szCs w:val="28"/>
          <w:highlight w:val="none"/>
        </w:rPr>
      </w:pPr>
    </w:p>
    <w:p w14:paraId="65B6F91F">
      <w:pPr>
        <w:pStyle w:val="2"/>
        <w:spacing w:line="360" w:lineRule="exact"/>
        <w:ind w:firstLine="280"/>
        <w:rPr>
          <w:rFonts w:ascii="仿宋" w:hAnsi="仿宋" w:eastAsia="仿宋" w:cs="仿宋"/>
          <w:color w:val="auto"/>
          <w:sz w:val="28"/>
          <w:szCs w:val="28"/>
          <w:highlight w:val="none"/>
        </w:rPr>
      </w:pPr>
    </w:p>
    <w:p w14:paraId="6094E159">
      <w:pPr>
        <w:pStyle w:val="13"/>
        <w:spacing w:line="360" w:lineRule="exact"/>
        <w:rPr>
          <w:rFonts w:ascii="仿宋" w:hAnsi="仿宋" w:eastAsia="仿宋" w:cs="仿宋"/>
          <w:color w:val="auto"/>
          <w:sz w:val="28"/>
          <w:szCs w:val="28"/>
          <w:highlight w:val="none"/>
        </w:rPr>
      </w:pPr>
    </w:p>
    <w:p w14:paraId="5FF75131">
      <w:pPr>
        <w:spacing w:line="360" w:lineRule="exact"/>
        <w:rPr>
          <w:rFonts w:ascii="仿宋" w:hAnsi="仿宋" w:eastAsia="仿宋" w:cs="仿宋"/>
          <w:color w:val="auto"/>
          <w:sz w:val="28"/>
          <w:szCs w:val="28"/>
          <w:highlight w:val="none"/>
        </w:rPr>
      </w:pPr>
    </w:p>
    <w:p w14:paraId="12A15110">
      <w:pPr>
        <w:pStyle w:val="13"/>
        <w:spacing w:line="360" w:lineRule="exact"/>
        <w:rPr>
          <w:rFonts w:ascii="仿宋" w:hAnsi="仿宋" w:eastAsia="仿宋" w:cs="仿宋"/>
          <w:color w:val="auto"/>
          <w:sz w:val="28"/>
          <w:szCs w:val="28"/>
          <w:highlight w:val="none"/>
        </w:rPr>
      </w:pPr>
    </w:p>
    <w:p w14:paraId="0A3DA0F0">
      <w:pPr>
        <w:spacing w:line="360" w:lineRule="exact"/>
        <w:rPr>
          <w:rFonts w:ascii="仿宋" w:hAnsi="仿宋" w:eastAsia="仿宋" w:cs="仿宋"/>
          <w:color w:val="auto"/>
          <w:sz w:val="28"/>
          <w:szCs w:val="28"/>
          <w:highlight w:val="none"/>
        </w:rPr>
      </w:pPr>
    </w:p>
    <w:p w14:paraId="40B26380">
      <w:pPr>
        <w:pStyle w:val="2"/>
        <w:spacing w:line="360" w:lineRule="exact"/>
        <w:ind w:firstLine="280"/>
        <w:rPr>
          <w:rFonts w:ascii="仿宋" w:hAnsi="仿宋" w:eastAsia="仿宋" w:cs="仿宋"/>
          <w:color w:val="auto"/>
          <w:sz w:val="28"/>
          <w:szCs w:val="28"/>
          <w:highlight w:val="none"/>
        </w:rPr>
      </w:pPr>
    </w:p>
    <w:p w14:paraId="1595C802">
      <w:pPr>
        <w:spacing w:line="360" w:lineRule="exact"/>
        <w:rPr>
          <w:rFonts w:ascii="仿宋" w:hAnsi="仿宋" w:eastAsia="仿宋" w:cs="仿宋"/>
          <w:color w:val="auto"/>
          <w:sz w:val="28"/>
          <w:szCs w:val="28"/>
          <w:highlight w:val="none"/>
        </w:rPr>
      </w:pPr>
    </w:p>
    <w:p w14:paraId="3E07776A">
      <w:pPr>
        <w:spacing w:line="360" w:lineRule="exact"/>
        <w:ind w:firstLine="560"/>
        <w:rPr>
          <w:rFonts w:ascii="方正小标宋简体" w:hAnsi="方正小标宋简体" w:eastAsia="方正小标宋简体" w:cs="方正小标宋简体"/>
          <w:bCs/>
          <w:color w:val="auto"/>
          <w:sz w:val="28"/>
          <w:szCs w:val="28"/>
          <w:highlight w:val="none"/>
        </w:rPr>
      </w:pPr>
    </w:p>
    <w:p w14:paraId="075C1BB6">
      <w:pPr>
        <w:spacing w:line="240" w:lineRule="auto"/>
        <w:ind w:firstLine="0"/>
        <w:jc w:val="left"/>
        <w:rPr>
          <w:rFonts w:hint="eastAsia" w:ascii="方正小标宋简体" w:hAnsi="方正小标宋简体" w:eastAsia="方正小标宋简体" w:cs="方正小标宋简体"/>
          <w:color w:val="auto"/>
          <w:kern w:val="0"/>
          <w:sz w:val="32"/>
          <w:szCs w:val="32"/>
          <w:highlight w:val="none"/>
        </w:rPr>
      </w:pPr>
      <w:r>
        <w:rPr>
          <w:rFonts w:hint="eastAsia" w:ascii="方正小标宋简体" w:hAnsi="方正小标宋简体" w:eastAsia="方正小标宋简体" w:cs="方正小标宋简体"/>
          <w:color w:val="auto"/>
          <w:kern w:val="0"/>
          <w:sz w:val="32"/>
          <w:szCs w:val="32"/>
          <w:highlight w:val="none"/>
        </w:rPr>
        <w:br w:type="page"/>
      </w:r>
    </w:p>
    <w:p w14:paraId="1DEEA87C">
      <w:pPr>
        <w:spacing w:line="560" w:lineRule="exact"/>
        <w:ind w:firstLine="640"/>
        <w:jc w:val="center"/>
        <w:rPr>
          <w:rFonts w:ascii="仿宋_GB2312" w:hAnsi="仿宋_GB2312" w:eastAsia="仿宋_GB2312" w:cs="仿宋_GB2312"/>
          <w:b/>
          <w:color w:val="auto"/>
          <w:sz w:val="32"/>
          <w:szCs w:val="32"/>
          <w:highlight w:val="none"/>
        </w:rPr>
      </w:pPr>
      <w:r>
        <w:rPr>
          <w:rFonts w:hint="eastAsia" w:ascii="方正小标宋简体" w:hAnsi="方正小标宋简体" w:eastAsia="方正小标宋简体" w:cs="方正小标宋简体"/>
          <w:color w:val="auto"/>
          <w:kern w:val="0"/>
          <w:sz w:val="32"/>
          <w:szCs w:val="32"/>
          <w:highlight w:val="none"/>
        </w:rPr>
        <w:t>法定代表人身份证明</w:t>
      </w:r>
    </w:p>
    <w:p w14:paraId="29C4C257">
      <w:pPr>
        <w:spacing w:line="360" w:lineRule="exact"/>
        <w:rPr>
          <w:rFonts w:ascii="仿宋" w:hAnsi="仿宋" w:eastAsia="仿宋" w:cs="仿宋"/>
          <w:color w:val="auto"/>
          <w:sz w:val="28"/>
          <w:szCs w:val="28"/>
          <w:highlight w:val="none"/>
        </w:rPr>
      </w:pPr>
    </w:p>
    <w:p w14:paraId="6277777F">
      <w:pPr>
        <w:spacing w:line="560" w:lineRule="exact"/>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班组名称：</w:t>
      </w:r>
    </w:p>
    <w:p w14:paraId="31E6A88A">
      <w:pPr>
        <w:spacing w:line="560" w:lineRule="exact"/>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单位性质：</w:t>
      </w:r>
    </w:p>
    <w:p w14:paraId="16067374">
      <w:pPr>
        <w:spacing w:line="56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地址：</w:t>
      </w:r>
    </w:p>
    <w:p w14:paraId="581ADC95">
      <w:pPr>
        <w:spacing w:line="560" w:lineRule="exact"/>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成立时间：</w:t>
      </w:r>
    </w:p>
    <w:p w14:paraId="290D7D74">
      <w:pPr>
        <w:spacing w:line="560" w:lineRule="exact"/>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经营期限：</w:t>
      </w:r>
    </w:p>
    <w:p w14:paraId="6009AD51">
      <w:pPr>
        <w:spacing w:line="560" w:lineRule="exact"/>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姓名：</w:t>
      </w:r>
      <w:r>
        <w:rPr>
          <w:rFonts w:hint="eastAsia" w:ascii="仿宋_GB2312" w:hAnsi="仿宋_GB2312" w:eastAsia="仿宋_GB2312" w:cs="仿宋_GB2312"/>
          <w:color w:val="auto"/>
          <w:sz w:val="28"/>
          <w:szCs w:val="28"/>
          <w:highlight w:val="none"/>
          <w:u w:val="single"/>
        </w:rPr>
        <w:t>（法定代表人签字或盖章）</w:t>
      </w:r>
    </w:p>
    <w:p w14:paraId="6094847B">
      <w:pPr>
        <w:spacing w:line="56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性别：</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，年龄：</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，职务：</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，系</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的法定代表人。</w:t>
      </w:r>
    </w:p>
    <w:p w14:paraId="52DC3EF1">
      <w:pPr>
        <w:spacing w:line="560" w:lineRule="exact"/>
        <w:rPr>
          <w:rFonts w:ascii="仿宋_GB2312" w:hAnsi="仿宋_GB2312" w:eastAsia="仿宋_GB2312" w:cs="仿宋_GB2312"/>
          <w:color w:val="auto"/>
          <w:sz w:val="28"/>
          <w:szCs w:val="28"/>
          <w:highlight w:val="none"/>
        </w:rPr>
      </w:pPr>
    </w:p>
    <w:p w14:paraId="7B62D0F7">
      <w:pPr>
        <w:spacing w:line="56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特此证明。</w:t>
      </w:r>
    </w:p>
    <w:p w14:paraId="706BEE29">
      <w:pPr>
        <w:spacing w:line="560" w:lineRule="exact"/>
        <w:rPr>
          <w:rFonts w:ascii="仿宋_GB2312" w:hAnsi="仿宋_GB2312" w:eastAsia="仿宋_GB2312" w:cs="仿宋_GB2312"/>
          <w:color w:val="auto"/>
          <w:sz w:val="28"/>
          <w:szCs w:val="28"/>
          <w:highlight w:val="none"/>
        </w:rPr>
      </w:pPr>
    </w:p>
    <w:p w14:paraId="239FEBC0">
      <w:pPr>
        <w:spacing w:line="560" w:lineRule="exact"/>
        <w:jc w:val="center"/>
        <w:rPr>
          <w:rFonts w:ascii="仿宋_GB2312" w:hAnsi="仿宋_GB2312" w:eastAsia="仿宋_GB2312" w:cs="仿宋_GB2312"/>
          <w:color w:val="auto"/>
          <w:sz w:val="28"/>
          <w:szCs w:val="28"/>
          <w:highlight w:val="none"/>
        </w:rPr>
      </w:pPr>
    </w:p>
    <w:p w14:paraId="3CF05CC5">
      <w:pPr>
        <w:spacing w:line="56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投标单位：（盖单位章）</w:t>
      </w:r>
    </w:p>
    <w:p w14:paraId="165BA326">
      <w:pPr>
        <w:spacing w:line="560" w:lineRule="exact"/>
        <w:ind w:firstLine="3085" w:firstLineChars="1102"/>
        <w:rPr>
          <w:rFonts w:ascii="仿宋_GB2312" w:hAnsi="仿宋_GB2312" w:eastAsia="仿宋_GB2312" w:cs="仿宋_GB2312"/>
          <w:color w:val="auto"/>
          <w:sz w:val="28"/>
          <w:szCs w:val="28"/>
          <w:highlight w:val="none"/>
          <w:u w:val="single"/>
        </w:rPr>
      </w:pPr>
    </w:p>
    <w:p w14:paraId="688594BF">
      <w:pPr>
        <w:widowControl/>
        <w:spacing w:line="560" w:lineRule="exact"/>
        <w:jc w:val="right"/>
        <w:rPr>
          <w:rFonts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 w:val="28"/>
          <w:szCs w:val="28"/>
          <w:highlight w:val="none"/>
        </w:rPr>
        <w:t>年   月   日</w:t>
      </w:r>
    </w:p>
    <w:p w14:paraId="44E19BC1">
      <w:pPr>
        <w:widowControl/>
        <w:spacing w:line="560" w:lineRule="exact"/>
        <w:ind w:firstLine="560"/>
        <w:rPr>
          <w:rFonts w:ascii="仿宋_GB2312" w:hAnsi="仿宋_GB2312" w:eastAsia="仿宋_GB2312" w:cs="仿宋_GB2312"/>
          <w:b/>
          <w:color w:val="auto"/>
          <w:sz w:val="28"/>
          <w:szCs w:val="28"/>
          <w:highlight w:val="none"/>
        </w:rPr>
      </w:pPr>
    </w:p>
    <w:p w14:paraId="0CB8D61A">
      <w:pPr>
        <w:widowControl/>
        <w:spacing w:line="360" w:lineRule="exact"/>
        <w:ind w:firstLine="560"/>
        <w:rPr>
          <w:rFonts w:ascii="仿宋" w:hAnsi="仿宋" w:eastAsia="仿宋" w:cs="仿宋"/>
          <w:b/>
          <w:color w:val="auto"/>
          <w:sz w:val="28"/>
          <w:szCs w:val="28"/>
          <w:highlight w:val="none"/>
        </w:rPr>
      </w:pPr>
    </w:p>
    <w:p w14:paraId="5D173EB2">
      <w:pPr>
        <w:widowControl/>
        <w:spacing w:line="360" w:lineRule="exact"/>
        <w:ind w:firstLine="560"/>
        <w:rPr>
          <w:rFonts w:ascii="仿宋" w:hAnsi="仿宋" w:eastAsia="仿宋" w:cs="仿宋"/>
          <w:b/>
          <w:color w:val="auto"/>
          <w:sz w:val="28"/>
          <w:szCs w:val="28"/>
          <w:highlight w:val="none"/>
        </w:rPr>
      </w:pPr>
    </w:p>
    <w:p w14:paraId="279750FF">
      <w:pPr>
        <w:spacing w:line="360" w:lineRule="exact"/>
        <w:rPr>
          <w:rFonts w:ascii="仿宋" w:hAnsi="仿宋" w:eastAsia="仿宋" w:cs="仿宋"/>
          <w:color w:val="auto"/>
          <w:sz w:val="28"/>
          <w:szCs w:val="28"/>
          <w:highlight w:val="none"/>
        </w:rPr>
      </w:pPr>
    </w:p>
    <w:p w14:paraId="3D5B2989">
      <w:pPr>
        <w:widowControl/>
        <w:spacing w:before="156" w:beforeLines="50" w:line="360" w:lineRule="exact"/>
        <w:ind w:firstLine="560"/>
        <w:jc w:val="center"/>
        <w:rPr>
          <w:rFonts w:ascii="仿宋" w:hAnsi="仿宋" w:eastAsia="仿宋" w:cs="仿宋"/>
          <w:b/>
          <w:bCs/>
          <w:color w:val="auto"/>
          <w:sz w:val="28"/>
          <w:szCs w:val="28"/>
          <w:highlight w:val="none"/>
          <w:lang w:val="zh-CN"/>
        </w:rPr>
      </w:pPr>
    </w:p>
    <w:p w14:paraId="4AD36494">
      <w:pPr>
        <w:ind w:firstLine="640"/>
        <w:rPr>
          <w:rFonts w:ascii="方正小标宋简体" w:hAnsi="方正小标宋简体" w:eastAsia="方正小标宋简体" w:cs="方正小标宋简体"/>
          <w:color w:val="auto"/>
          <w:sz w:val="32"/>
          <w:szCs w:val="32"/>
          <w:highlight w:val="none"/>
          <w:lang w:val="zh-CN"/>
        </w:rPr>
      </w:pPr>
    </w:p>
    <w:p w14:paraId="0C828B71">
      <w:pPr>
        <w:widowControl/>
        <w:spacing w:before="0" w:beforeLines="-2147483648" w:line="240" w:lineRule="auto"/>
        <w:ind w:firstLine="0"/>
        <w:jc w:val="left"/>
        <w:rPr>
          <w:rFonts w:hint="eastAsia" w:ascii="方正小标宋简体" w:hAnsi="方正小标宋简体" w:eastAsia="方正小标宋简体" w:cs="方正小标宋简体"/>
          <w:color w:val="auto"/>
          <w:sz w:val="32"/>
          <w:szCs w:val="32"/>
          <w:highlight w:val="none"/>
          <w:lang w:val="zh-CN"/>
        </w:rPr>
      </w:pPr>
      <w:r>
        <w:rPr>
          <w:rFonts w:hint="eastAsia" w:ascii="方正小标宋简体" w:hAnsi="方正小标宋简体" w:eastAsia="方正小标宋简体" w:cs="方正小标宋简体"/>
          <w:color w:val="auto"/>
          <w:sz w:val="32"/>
          <w:szCs w:val="32"/>
          <w:highlight w:val="none"/>
          <w:lang w:val="zh-CN"/>
        </w:rPr>
        <w:br w:type="page"/>
      </w:r>
    </w:p>
    <w:p w14:paraId="488C478D">
      <w:pPr>
        <w:widowControl/>
        <w:spacing w:before="156" w:beforeLines="50" w:line="360" w:lineRule="exact"/>
        <w:ind w:firstLine="640"/>
        <w:jc w:val="center"/>
        <w:rPr>
          <w:rFonts w:ascii="方正小标宋简体" w:hAnsi="方正小标宋简体" w:eastAsia="方正小标宋简体" w:cs="方正小标宋简体"/>
          <w:color w:val="auto"/>
          <w:sz w:val="32"/>
          <w:szCs w:val="32"/>
          <w:highlight w:val="none"/>
          <w:lang w:val="zh-CN"/>
        </w:rPr>
      </w:pPr>
      <w:r>
        <w:rPr>
          <w:rFonts w:hint="eastAsia" w:ascii="方正小标宋简体" w:hAnsi="方正小标宋简体" w:eastAsia="方正小标宋简体" w:cs="方正小标宋简体"/>
          <w:color w:val="auto"/>
          <w:sz w:val="32"/>
          <w:szCs w:val="32"/>
          <w:highlight w:val="none"/>
          <w:lang w:val="zh-CN"/>
        </w:rPr>
        <w:t>法人授权委托书</w:t>
      </w:r>
    </w:p>
    <w:p w14:paraId="56B8AF8E">
      <w:pPr>
        <w:pStyle w:val="2"/>
        <w:ind w:firstLine="280"/>
        <w:rPr>
          <w:color w:val="auto"/>
          <w:sz w:val="28"/>
          <w:szCs w:val="28"/>
          <w:highlight w:val="none"/>
          <w:lang w:val="zh-CN"/>
        </w:rPr>
      </w:pPr>
    </w:p>
    <w:p w14:paraId="6F8A9573">
      <w:pPr>
        <w:widowControl/>
        <w:spacing w:line="560" w:lineRule="exact"/>
        <w:ind w:firstLine="560" w:firstLineChars="200"/>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本授权委托书声明：本人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lang w:val="zh-CN"/>
        </w:rPr>
        <w:t>系</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lang w:val="zh-CN"/>
        </w:rPr>
        <w:t>的法定代表人，现授权委托</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lang w:val="zh-CN"/>
        </w:rPr>
        <w:t>为我公司代理人，参加</w:t>
      </w:r>
      <w:r>
        <w:rPr>
          <w:rFonts w:hint="eastAsia" w:ascii="仿宋" w:hAnsi="仿宋" w:eastAsia="仿宋" w:cs="仿宋"/>
          <w:color w:val="auto"/>
          <w:sz w:val="28"/>
          <w:szCs w:val="28"/>
          <w:highlight w:val="none"/>
          <w:u w:val="single"/>
        </w:rPr>
        <w:t>湖州南浔城投城市建设集团有限公司</w:t>
      </w:r>
      <w:r>
        <w:rPr>
          <w:rFonts w:hint="eastAsia" w:ascii="仿宋" w:hAnsi="仿宋" w:eastAsia="仿宋" w:cs="仿宋"/>
          <w:color w:val="auto"/>
          <w:sz w:val="28"/>
          <w:szCs w:val="28"/>
          <w:highlight w:val="none"/>
          <w:lang w:val="zh-CN"/>
        </w:rPr>
        <w:t>的</w:t>
      </w:r>
      <w:r>
        <w:rPr>
          <w:rFonts w:hint="eastAsia" w:ascii="仿宋" w:hAnsi="仿宋" w:eastAsia="仿宋" w:cs="仿宋"/>
          <w:color w:val="auto"/>
          <w:sz w:val="28"/>
          <w:szCs w:val="28"/>
          <w:highlight w:val="none"/>
          <w:u w:val="single"/>
        </w:rPr>
        <w:t xml:space="preserve">      （项目名称） </w:t>
      </w:r>
      <w:r>
        <w:rPr>
          <w:rFonts w:hint="eastAsia" w:ascii="仿宋" w:hAnsi="仿宋" w:eastAsia="仿宋" w:cs="仿宋"/>
          <w:color w:val="auto"/>
          <w:sz w:val="28"/>
          <w:szCs w:val="28"/>
          <w:highlight w:val="none"/>
          <w:lang w:val="zh-CN"/>
        </w:rPr>
        <w:t>的</w:t>
      </w:r>
      <w:r>
        <w:rPr>
          <w:rFonts w:hint="eastAsia" w:ascii="仿宋" w:hAnsi="仿宋" w:eastAsia="仿宋" w:cs="仿宋"/>
          <w:color w:val="auto"/>
          <w:sz w:val="28"/>
          <w:szCs w:val="28"/>
          <w:highlight w:val="none"/>
        </w:rPr>
        <w:t>投标</w:t>
      </w:r>
      <w:r>
        <w:rPr>
          <w:rFonts w:hint="eastAsia" w:ascii="仿宋" w:hAnsi="仿宋" w:eastAsia="仿宋" w:cs="仿宋"/>
          <w:color w:val="auto"/>
          <w:sz w:val="28"/>
          <w:szCs w:val="28"/>
          <w:highlight w:val="none"/>
          <w:lang w:val="zh-CN"/>
        </w:rPr>
        <w:t>活动。代理人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lang w:val="zh-CN"/>
        </w:rPr>
        <w:t>在投标过程中，</w:t>
      </w:r>
      <w:r>
        <w:rPr>
          <w:rFonts w:hint="eastAsia" w:ascii="仿宋" w:hAnsi="仿宋" w:eastAsia="仿宋" w:cs="仿宋"/>
          <w:color w:val="auto"/>
          <w:sz w:val="28"/>
          <w:szCs w:val="28"/>
          <w:highlight w:val="none"/>
        </w:rPr>
        <w:t>以及今后所有合作开展的项目中，</w:t>
      </w:r>
      <w:r>
        <w:rPr>
          <w:rFonts w:hint="eastAsia" w:ascii="仿宋" w:hAnsi="仿宋" w:eastAsia="仿宋" w:cs="仿宋"/>
          <w:color w:val="auto"/>
          <w:sz w:val="28"/>
          <w:szCs w:val="28"/>
          <w:highlight w:val="none"/>
          <w:lang w:val="zh-CN"/>
        </w:rPr>
        <w:t>所签署的一切文件和处理与之有关的一切事务（</w:t>
      </w:r>
      <w:r>
        <w:rPr>
          <w:rFonts w:hint="eastAsia" w:ascii="仿宋" w:hAnsi="仿宋" w:eastAsia="仿宋" w:cs="仿宋"/>
          <w:color w:val="auto"/>
          <w:sz w:val="28"/>
          <w:szCs w:val="28"/>
          <w:highlight w:val="none"/>
        </w:rPr>
        <w:t>包括但不限于投标、签约、联系、对账、结算等</w:t>
      </w: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rPr>
        <w:t>我公司和</w:t>
      </w:r>
      <w:r>
        <w:rPr>
          <w:rFonts w:hint="eastAsia" w:ascii="仿宋" w:hAnsi="仿宋" w:eastAsia="仿宋" w:cs="仿宋"/>
          <w:color w:val="auto"/>
          <w:sz w:val="28"/>
          <w:szCs w:val="28"/>
          <w:highlight w:val="none"/>
          <w:lang w:val="zh-CN"/>
        </w:rPr>
        <w:t>本人均予以承认。</w:t>
      </w:r>
    </w:p>
    <w:p w14:paraId="3E87C459">
      <w:pPr>
        <w:widowControl/>
        <w:spacing w:line="560" w:lineRule="exact"/>
        <w:ind w:firstLine="560" w:firstLineChars="200"/>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代理人无转委权。</w:t>
      </w:r>
      <w:r>
        <w:rPr>
          <w:rFonts w:hint="eastAsia" w:ascii="仿宋" w:hAnsi="仿宋" w:eastAsia="仿宋" w:cs="仿宋"/>
          <w:color w:val="auto"/>
          <w:sz w:val="28"/>
          <w:szCs w:val="28"/>
          <w:highlight w:val="none"/>
        </w:rPr>
        <w:t>本委托不可撤销。</w:t>
      </w:r>
      <w:r>
        <w:rPr>
          <w:rFonts w:hint="eastAsia" w:ascii="仿宋" w:hAnsi="仿宋" w:eastAsia="仿宋" w:cs="仿宋"/>
          <w:color w:val="auto"/>
          <w:sz w:val="28"/>
          <w:szCs w:val="28"/>
          <w:highlight w:val="none"/>
          <w:lang w:val="zh-CN"/>
        </w:rPr>
        <w:t>特此委托。</w:t>
      </w:r>
    </w:p>
    <w:p w14:paraId="4729DEF9">
      <w:pPr>
        <w:widowControl/>
        <w:spacing w:line="560" w:lineRule="exact"/>
        <w:ind w:firstLine="560" w:firstLineChars="200"/>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附件：法定代表人及委托代理人身份证复印件。</w:t>
      </w:r>
    </w:p>
    <w:p w14:paraId="7C8ADCFC">
      <w:pPr>
        <w:widowControl/>
        <w:spacing w:before="156" w:beforeLines="50" w:line="360" w:lineRule="exact"/>
        <w:ind w:firstLine="562"/>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投标单位：（盖章）</w:t>
      </w:r>
    </w:p>
    <w:p w14:paraId="26048DF0">
      <w:pPr>
        <w:widowControl/>
        <w:spacing w:before="156" w:beforeLines="50" w:line="360" w:lineRule="exact"/>
        <w:ind w:firstLine="562"/>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法定代表人：（签字</w:t>
      </w:r>
      <w:r>
        <w:rPr>
          <w:rFonts w:hint="eastAsia" w:ascii="仿宋" w:hAnsi="仿宋" w:eastAsia="仿宋" w:cs="仿宋"/>
          <w:color w:val="auto"/>
          <w:sz w:val="28"/>
          <w:szCs w:val="28"/>
          <w:highlight w:val="none"/>
        </w:rPr>
        <w:t>或盖章</w:t>
      </w:r>
      <w:r>
        <w:rPr>
          <w:rFonts w:hint="eastAsia" w:ascii="仿宋" w:hAnsi="仿宋" w:eastAsia="仿宋" w:cs="仿宋"/>
          <w:color w:val="auto"/>
          <w:sz w:val="28"/>
          <w:szCs w:val="28"/>
          <w:highlight w:val="none"/>
          <w:lang w:val="zh-CN"/>
        </w:rPr>
        <w:t>）</w:t>
      </w:r>
    </w:p>
    <w:p w14:paraId="178550AE">
      <w:pPr>
        <w:widowControl/>
        <w:spacing w:before="156" w:beforeLines="50" w:line="360" w:lineRule="exact"/>
        <w:ind w:firstLine="562"/>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身份证号码：</w:t>
      </w:r>
    </w:p>
    <w:p w14:paraId="6226B52E">
      <w:pPr>
        <w:widowControl/>
        <w:spacing w:before="156" w:beforeLines="50" w:line="360" w:lineRule="exact"/>
        <w:ind w:firstLine="562"/>
        <w:rPr>
          <w:rFonts w:ascii="仿宋" w:hAnsi="仿宋" w:eastAsia="仿宋" w:cs="仿宋"/>
          <w:color w:val="auto"/>
          <w:sz w:val="28"/>
          <w:szCs w:val="28"/>
          <w:highlight w:val="none"/>
          <w:lang w:val="zh-CN"/>
        </w:rPr>
      </w:pPr>
    </w:p>
    <w:p w14:paraId="4A7C350D">
      <w:pPr>
        <w:widowControl/>
        <w:spacing w:before="156" w:beforeLines="50" w:line="360" w:lineRule="exact"/>
        <w:ind w:firstLine="562"/>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委托代理人：（签字</w:t>
      </w:r>
      <w:r>
        <w:rPr>
          <w:rFonts w:hint="eastAsia" w:ascii="仿宋" w:hAnsi="仿宋" w:eastAsia="仿宋" w:cs="仿宋"/>
          <w:color w:val="auto"/>
          <w:sz w:val="28"/>
          <w:szCs w:val="28"/>
          <w:highlight w:val="none"/>
        </w:rPr>
        <w:t>或盖章</w:t>
      </w:r>
      <w:r>
        <w:rPr>
          <w:rFonts w:hint="eastAsia" w:ascii="仿宋" w:hAnsi="仿宋" w:eastAsia="仿宋" w:cs="仿宋"/>
          <w:color w:val="auto"/>
          <w:sz w:val="28"/>
          <w:szCs w:val="28"/>
          <w:highlight w:val="none"/>
          <w:lang w:val="zh-CN"/>
        </w:rPr>
        <w:t>）</w:t>
      </w:r>
    </w:p>
    <w:p w14:paraId="62DFE2BA">
      <w:pPr>
        <w:widowControl/>
        <w:spacing w:before="156" w:beforeLines="50" w:line="360" w:lineRule="exact"/>
        <w:ind w:firstLine="562"/>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身份证号码：</w:t>
      </w:r>
    </w:p>
    <w:p w14:paraId="761E7CC6">
      <w:pPr>
        <w:widowControl/>
        <w:spacing w:before="156" w:beforeLines="50" w:line="360" w:lineRule="exact"/>
        <w:ind w:firstLine="4552" w:firstLineChars="1626"/>
        <w:rPr>
          <w:rFonts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日期：</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年</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月</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日</w:t>
      </w:r>
    </w:p>
    <w:p w14:paraId="576A6309">
      <w:pPr>
        <w:widowControl/>
        <w:spacing w:before="156" w:beforeLines="50" w:line="360" w:lineRule="exact"/>
        <w:rPr>
          <w:rFonts w:ascii="仿宋" w:hAnsi="仿宋" w:eastAsia="仿宋" w:cs="仿宋"/>
          <w:color w:val="auto"/>
          <w:sz w:val="28"/>
          <w:szCs w:val="28"/>
          <w:highlight w:val="none"/>
        </w:rPr>
      </w:pPr>
    </w:p>
    <w:p w14:paraId="5BCF4083">
      <w:pPr>
        <w:pStyle w:val="2"/>
        <w:spacing w:line="360" w:lineRule="exact"/>
        <w:ind w:firstLine="281"/>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eastAsia="zh-Hans"/>
        </w:rPr>
        <w:t>特别声明：</w:t>
      </w:r>
      <w:r>
        <w:rPr>
          <w:rFonts w:hint="eastAsia" w:ascii="仿宋" w:hAnsi="仿宋" w:eastAsia="仿宋" w:cs="仿宋"/>
          <w:b/>
          <w:bCs/>
          <w:color w:val="auto"/>
          <w:sz w:val="28"/>
          <w:szCs w:val="28"/>
          <w:highlight w:val="none"/>
        </w:rPr>
        <w:t>投标单位</w:t>
      </w:r>
      <w:r>
        <w:rPr>
          <w:rFonts w:hint="eastAsia" w:ascii="仿宋" w:hAnsi="仿宋" w:eastAsia="仿宋" w:cs="仿宋"/>
          <w:b/>
          <w:bCs/>
          <w:color w:val="auto"/>
          <w:sz w:val="28"/>
          <w:szCs w:val="28"/>
          <w:highlight w:val="none"/>
          <w:lang w:eastAsia="zh-Hans"/>
        </w:rPr>
        <w:t>及法定代表人、委托代理人均确保本《授权委托书》以及其他相关的材料上所有盖章、签字的真实性，不存在弄虚作假，否则除《授权委托书》等材料确有效外，依法追究法律责任（包括但不限于民事责任、刑事责任等）。</w:t>
      </w:r>
    </w:p>
    <w:p w14:paraId="75B4C231">
      <w:pPr>
        <w:pStyle w:val="14"/>
        <w:spacing w:before="156" w:beforeLines="50" w:beforeAutospacing="0" w:after="0" w:afterAutospacing="0" w:line="360" w:lineRule="exact"/>
        <w:ind w:firstLine="560"/>
        <w:jc w:val="center"/>
        <w:rPr>
          <w:rFonts w:ascii="仿宋" w:hAnsi="仿宋" w:eastAsia="仿宋" w:cs="仿宋"/>
          <w:b/>
          <w:bCs/>
          <w:color w:val="auto"/>
          <w:sz w:val="28"/>
          <w:szCs w:val="28"/>
          <w:highlight w:val="none"/>
        </w:rPr>
      </w:pPr>
    </w:p>
    <w:p w14:paraId="039CBC46">
      <w:pPr>
        <w:pStyle w:val="14"/>
        <w:spacing w:before="156" w:beforeLines="50" w:beforeAutospacing="0" w:after="0" w:afterAutospacing="0" w:line="340" w:lineRule="exact"/>
        <w:ind w:firstLine="560"/>
        <w:jc w:val="both"/>
        <w:rPr>
          <w:rFonts w:ascii="方正小标宋简体" w:hAnsi="方正小标宋简体" w:eastAsia="方正小标宋简体" w:cs="方正小标宋简体"/>
          <w:color w:val="auto"/>
          <w:kern w:val="2"/>
          <w:sz w:val="28"/>
          <w:szCs w:val="28"/>
          <w:highlight w:val="none"/>
          <w:lang w:val="zh-CN"/>
        </w:rPr>
      </w:pPr>
    </w:p>
    <w:p w14:paraId="52932B52">
      <w:pPr>
        <w:ind w:firstLine="560"/>
        <w:rPr>
          <w:rFonts w:ascii="方正小标宋简体" w:hAnsi="方正小标宋简体" w:eastAsia="方正小标宋简体" w:cs="方正小标宋简体"/>
          <w:color w:val="auto"/>
          <w:sz w:val="28"/>
          <w:szCs w:val="28"/>
          <w:highlight w:val="none"/>
          <w:lang w:val="zh-CN"/>
        </w:rPr>
      </w:pPr>
      <w:r>
        <w:rPr>
          <w:rFonts w:hint="eastAsia" w:ascii="方正小标宋简体" w:hAnsi="方正小标宋简体" w:eastAsia="方正小标宋简体" w:cs="方正小标宋简体"/>
          <w:color w:val="auto"/>
          <w:sz w:val="28"/>
          <w:szCs w:val="28"/>
          <w:highlight w:val="none"/>
          <w:lang w:val="zh-CN"/>
        </w:rPr>
        <w:br w:type="page"/>
      </w:r>
    </w:p>
    <w:p w14:paraId="00A45AB6">
      <w:pPr>
        <w:pStyle w:val="14"/>
        <w:spacing w:before="156" w:beforeLines="50" w:beforeAutospacing="0" w:after="0" w:afterAutospacing="0" w:line="340" w:lineRule="exact"/>
        <w:ind w:firstLine="640"/>
        <w:jc w:val="center"/>
        <w:rPr>
          <w:rFonts w:ascii="方正小标宋简体" w:hAnsi="方正小标宋简体" w:eastAsia="方正小标宋简体" w:cs="方正小标宋简体"/>
          <w:color w:val="auto"/>
          <w:kern w:val="2"/>
          <w:sz w:val="32"/>
          <w:szCs w:val="32"/>
          <w:highlight w:val="none"/>
          <w:lang w:val="zh-CN"/>
        </w:rPr>
      </w:pPr>
      <w:r>
        <w:rPr>
          <w:rFonts w:hint="eastAsia" w:ascii="方正小标宋简体" w:hAnsi="方正小标宋简体" w:eastAsia="方正小标宋简体" w:cs="方正小标宋简体"/>
          <w:color w:val="auto"/>
          <w:kern w:val="2"/>
          <w:sz w:val="32"/>
          <w:szCs w:val="32"/>
          <w:highlight w:val="none"/>
          <w:lang w:val="zh-CN"/>
        </w:rPr>
        <w:t>承诺书</w:t>
      </w:r>
    </w:p>
    <w:p w14:paraId="5F2D08E3">
      <w:pPr>
        <w:pStyle w:val="14"/>
        <w:spacing w:before="156" w:beforeLines="50" w:beforeAutospacing="0" w:after="0" w:afterAutospacing="0" w:line="340" w:lineRule="exact"/>
        <w:ind w:firstLine="560"/>
        <w:jc w:val="center"/>
        <w:rPr>
          <w:rFonts w:ascii="方正小标宋简体" w:hAnsi="方正小标宋简体" w:eastAsia="方正小标宋简体" w:cs="方正小标宋简体"/>
          <w:color w:val="auto"/>
          <w:kern w:val="2"/>
          <w:sz w:val="28"/>
          <w:szCs w:val="28"/>
          <w:highlight w:val="none"/>
          <w:lang w:val="zh-CN"/>
        </w:rPr>
      </w:pPr>
    </w:p>
    <w:p w14:paraId="1DBFC04C">
      <w:pPr>
        <w:pStyle w:val="14"/>
        <w:spacing w:before="0" w:beforeAutospacing="0" w:after="0" w:afterAutospacing="0" w:line="56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致：</w:t>
      </w:r>
      <w:r>
        <w:rPr>
          <w:rFonts w:hint="eastAsia" w:ascii="仿宋_GB2312" w:hAnsi="仿宋_GB2312" w:eastAsia="仿宋_GB2312" w:cs="仿宋_GB2312"/>
          <w:color w:val="auto"/>
          <w:sz w:val="28"/>
          <w:szCs w:val="28"/>
          <w:highlight w:val="none"/>
          <w:u w:val="single"/>
        </w:rPr>
        <w:t>湖州南浔城投城市建设集团有限公司</w:t>
      </w:r>
    </w:p>
    <w:p w14:paraId="5BE937B3">
      <w:pPr>
        <w:pStyle w:val="14"/>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我单位符合申报条件，特申请加入湖州南浔城投城市建设集团有限公司（含子公司）</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库，参与和从事贵司的工程承包施工。</w:t>
      </w:r>
    </w:p>
    <w:p w14:paraId="15F91827">
      <w:pPr>
        <w:pStyle w:val="14"/>
        <w:spacing w:before="0" w:beforeAutospacing="0" w:after="0" w:afterAutospacing="0" w:line="560" w:lineRule="exact"/>
        <w:ind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本单位郑重承诺和保证：</w:t>
      </w:r>
    </w:p>
    <w:p w14:paraId="0DB3CB41">
      <w:pPr>
        <w:pStyle w:val="14"/>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一、我单位为本项目投标、开展项目等所递交的一切材料</w:t>
      </w:r>
      <w:r>
        <w:rPr>
          <w:rFonts w:hint="eastAsia" w:ascii="仿宋_GB2312" w:hAnsi="仿宋_GB2312" w:eastAsia="仿宋_GB2312" w:cs="仿宋_GB2312"/>
          <w:color w:val="auto"/>
          <w:sz w:val="28"/>
          <w:szCs w:val="28"/>
          <w:highlight w:val="none"/>
          <w:lang w:eastAsia="zh-Hans"/>
        </w:rPr>
        <w:t>（包括但不限于材料本身、签字、盖章等）</w:t>
      </w:r>
      <w:r>
        <w:rPr>
          <w:rFonts w:hint="eastAsia" w:ascii="仿宋_GB2312" w:hAnsi="仿宋_GB2312" w:eastAsia="仿宋_GB2312" w:cs="仿宋_GB2312"/>
          <w:color w:val="auto"/>
          <w:sz w:val="28"/>
          <w:szCs w:val="28"/>
          <w:highlight w:val="none"/>
        </w:rPr>
        <w:t>均真实、有效，如有任何虚假和隐瞒情况，我单位愿意承担一切法律责任，并承担由此对贵公司造成的一切损失和责任；同时，如我单位为入库单位，贵司可单方面将我单位清退出库并扣罚入库保证金，我单位接受贵司给予的处理和处罚。</w:t>
      </w:r>
    </w:p>
    <w:p w14:paraId="485114F2">
      <w:pPr>
        <w:pStyle w:val="14"/>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二、截止申报之日，我单位经营状况良好，没有处于被有关行政部门禁止或限制的处罚期内和财产被接管、冻结、破产、失信的状态。</w:t>
      </w:r>
    </w:p>
    <w:p w14:paraId="6C4A6B67">
      <w:pPr>
        <w:pStyle w:val="14"/>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三、我单位委派的唯一代理人即内部施工班组负责人为（姓名）</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，身份证号码为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，联系电话为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该代理人即为我单位投标本项目的唯一代理人和内部施工班组负责人，代表我单位履行投标、项目开展等全部活动（包括但不限于投标、现场管理、安全、进度、洽谈、对账、结算、付款、签订协议、确认书、承诺书以及相关合同所及的任何事务），该代表的行为即我单位的行为。</w:t>
      </w:r>
    </w:p>
    <w:p w14:paraId="4AD55D31">
      <w:pPr>
        <w:pStyle w:val="14"/>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若我单位中标，将严格遵守相关法律法规、行政管理规定及贵单位管理的相关规定，坚持客观独立、公正执业、诚实守信，并保证提高工作效率，保障工作质量；将严格遵守贵司的制度和规定，服从贵司的管理，不以任何理由阻碍贵司的工程施工和工作推进，如我单位为入库单位，贵司可单方面将我单位清退出库并扣罚入库保证金，我单位愿意承担由此对贵司造成的一切损失和责任，我单位接受贵司给予的一切处理和处罚。</w:t>
      </w:r>
    </w:p>
    <w:p w14:paraId="1CFC2882">
      <w:pPr>
        <w:pStyle w:val="14"/>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五、若我单位中标，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4）保证安排的全部施工人员（农民工）参与考勤；保证不发生拖欠农民工工资报酬的行为、不发生农民工讨薪事件，如发生的，则由贵司先行垫付的、我单位予以认可，由贵司在今后应支付给我单位的款项中直接扣除，如我单位为入库单位，贵司有权选择取消我单位的入库资格并没收交纳的入库保证金。</w:t>
      </w:r>
    </w:p>
    <w:p w14:paraId="770DBE8D">
      <w:pPr>
        <w:pStyle w:val="14"/>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六、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14:paraId="0CF41983">
      <w:pPr>
        <w:pStyle w:val="14"/>
        <w:spacing w:before="0" w:beforeAutospacing="0" w:after="0" w:afterAutospacing="0" w:line="560" w:lineRule="exact"/>
        <w:ind w:firstLine="560" w:firstLineChars="200"/>
        <w:jc w:val="both"/>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七、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14:paraId="50200B35">
      <w:pPr>
        <w:pStyle w:val="14"/>
        <w:spacing w:before="0" w:beforeAutospacing="0" w:after="0" w:afterAutospacing="0" w:line="560" w:lineRule="exact"/>
        <w:ind w:firstLine="560" w:firstLineChars="200"/>
        <w:jc w:val="both"/>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八、我单位承诺参加贵司投标的委托代理人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14:paraId="201188A5">
      <w:pPr>
        <w:pStyle w:val="14"/>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九、我单位保证不得有下列情形，如发生的贵司有权选择取消我单位中标资格，如我单位为入库单位，同时取消我单位的入库资格，并由我单位依法承担违约责任：</w:t>
      </w:r>
    </w:p>
    <w:p w14:paraId="3E6C74CB">
      <w:pPr>
        <w:pStyle w:val="14"/>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（一）在企业资质、执业人员等方面弄虚作假、挂靠、提供不实信息资料的；</w:t>
      </w:r>
    </w:p>
    <w:p w14:paraId="2CBD95DD">
      <w:pPr>
        <w:pStyle w:val="14"/>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（二）违反有关法律、法规，被司法机关、行政监督等部门或行业组织处罚或处理的；</w:t>
      </w:r>
    </w:p>
    <w:p w14:paraId="30A7BD42">
      <w:pPr>
        <w:pStyle w:val="14"/>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（三）在开展业务过程中，串通违规操作、弄虚作假、提供不实信息资料的；</w:t>
      </w:r>
    </w:p>
    <w:p w14:paraId="427DBCC8">
      <w:pPr>
        <w:pStyle w:val="14"/>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（四）中标后无正当理由放弃或拒绝签订合同的；</w:t>
      </w:r>
    </w:p>
    <w:p w14:paraId="24ABCC8A">
      <w:pPr>
        <w:pStyle w:val="14"/>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（五）擅自变更、中止或终止合同；</w:t>
      </w:r>
    </w:p>
    <w:p w14:paraId="5559F957">
      <w:pPr>
        <w:pStyle w:val="14"/>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（六）拒绝履行合同义务或将合同转包给他人的；</w:t>
      </w:r>
    </w:p>
    <w:p w14:paraId="343252B5">
      <w:pPr>
        <w:pStyle w:val="14"/>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（七）未经公司或监管部门同意随意更换主要服务人员的；</w:t>
      </w:r>
    </w:p>
    <w:p w14:paraId="48EE576B">
      <w:pPr>
        <w:pStyle w:val="14"/>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（八）安全、质量不符合业主单位、监管部门及城投集团（湖州南浔城投城市建设集团有限公司）要求的；</w:t>
      </w:r>
    </w:p>
    <w:p w14:paraId="70DC50B3">
      <w:pPr>
        <w:pStyle w:val="14"/>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（九）发生拖欠农民工工资、材料款等行为的；</w:t>
      </w:r>
    </w:p>
    <w:p w14:paraId="561B3D5D">
      <w:pPr>
        <w:pStyle w:val="14"/>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（十）其他违反相关监管制度，达到清除出库条件的；</w:t>
      </w:r>
    </w:p>
    <w:p w14:paraId="71D2F66D">
      <w:pPr>
        <w:pStyle w:val="14"/>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（十一）施工班组发生廉政问题的；</w:t>
      </w:r>
    </w:p>
    <w:p w14:paraId="02345A74">
      <w:pPr>
        <w:pStyle w:val="14"/>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（十二）一年内累计出现连续2次或者累计3次不响应公司招标竞价的、不响应委派应急抢险任务的。</w:t>
      </w:r>
    </w:p>
    <w:p w14:paraId="6A85BC34">
      <w:pPr>
        <w:pStyle w:val="14"/>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十、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14:paraId="6561179A">
      <w:pPr>
        <w:pStyle w:val="14"/>
        <w:spacing w:before="0" w:beforeAutospacing="0" w:after="0" w:afterAutospacing="0"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十一、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高商务报价（最高下浮率）投标文件为有效投标。（3）如两次流标后，贵司可自行指定施工单位。</w:t>
      </w:r>
    </w:p>
    <w:p w14:paraId="1EE2359E">
      <w:pPr>
        <w:pStyle w:val="14"/>
        <w:spacing w:before="0" w:beforeAutospacing="0" w:after="0" w:afterAutospacing="0" w:line="560" w:lineRule="exact"/>
        <w:ind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 xml:space="preserve">特此承诺！                </w:t>
      </w:r>
    </w:p>
    <w:p w14:paraId="71789EB3">
      <w:pPr>
        <w:pStyle w:val="14"/>
        <w:spacing w:before="0" w:beforeAutospacing="0" w:after="0" w:afterAutospacing="0" w:line="560" w:lineRule="exact"/>
        <w:ind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 xml:space="preserve"> </w:t>
      </w:r>
    </w:p>
    <w:p w14:paraId="4829FEC8">
      <w:pPr>
        <w:pStyle w:val="14"/>
        <w:spacing w:before="0" w:beforeAutospacing="0" w:after="0" w:afterAutospacing="0" w:line="560" w:lineRule="exact"/>
        <w:ind w:firstLine="3640" w:firstLineChars="13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申请单位（盖章）：</w:t>
      </w:r>
    </w:p>
    <w:p w14:paraId="71D710BB">
      <w:pPr>
        <w:pStyle w:val="14"/>
        <w:spacing w:before="0" w:beforeAutospacing="0" w:after="0" w:afterAutospacing="0" w:line="56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法定代表人（签字或盖章）：</w:t>
      </w:r>
    </w:p>
    <w:p w14:paraId="1A6367B7">
      <w:pPr>
        <w:pStyle w:val="14"/>
        <w:spacing w:before="0" w:beforeAutospacing="0" w:after="0" w:afterAutospacing="0" w:line="560" w:lineRule="exact"/>
        <w:ind w:firstLine="3920" w:firstLineChars="14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年   月   日</w:t>
      </w:r>
    </w:p>
    <w:p w14:paraId="4CB70815">
      <w:pPr>
        <w:spacing w:line="560" w:lineRule="exact"/>
        <w:jc w:val="center"/>
        <w:rPr>
          <w:rFonts w:ascii="仿宋_GB2312" w:hAnsi="仿宋_GB2312" w:eastAsia="仿宋_GB2312" w:cs="仿宋_GB2312"/>
          <w:color w:val="auto"/>
          <w:sz w:val="28"/>
          <w:szCs w:val="28"/>
          <w:highlight w:val="none"/>
        </w:rPr>
        <w:sectPr>
          <w:footerReference r:id="rId3" w:type="default"/>
          <w:pgSz w:w="11906" w:h="16838"/>
          <w:pgMar w:top="2098" w:right="1474" w:bottom="1440" w:left="1587" w:header="851" w:footer="992" w:gutter="0"/>
          <w:pgNumType w:fmt="numberInDash"/>
          <w:cols w:space="720" w:num="1"/>
          <w:docGrid w:type="lines" w:linePitch="312" w:charSpace="0"/>
        </w:sectPr>
      </w:pPr>
    </w:p>
    <w:p w14:paraId="48AC05CC">
      <w:pPr>
        <w:adjustRightInd w:val="0"/>
        <w:snapToGrid w:val="0"/>
        <w:spacing w:line="320" w:lineRule="exact"/>
        <w:ind w:firstLine="720"/>
        <w:jc w:val="center"/>
        <w:rPr>
          <w:rFonts w:ascii="方正小标宋简体" w:hAnsi="方正小标宋简体" w:eastAsia="方正小标宋简体" w:cs="方正小标宋简体"/>
          <w:bCs/>
          <w:color w:val="auto"/>
          <w:spacing w:val="40"/>
          <w:sz w:val="28"/>
          <w:szCs w:val="28"/>
          <w:highlight w:val="none"/>
        </w:rPr>
      </w:pPr>
    </w:p>
    <w:p w14:paraId="5D1CB47B">
      <w:pPr>
        <w:adjustRightInd w:val="0"/>
        <w:snapToGrid w:val="0"/>
        <w:spacing w:line="560" w:lineRule="exact"/>
        <w:ind w:firstLine="800"/>
        <w:jc w:val="center"/>
        <w:rPr>
          <w:rFonts w:ascii="方正小标宋简体" w:hAnsi="方正小标宋简体" w:eastAsia="方正小标宋简体" w:cs="方正小标宋简体"/>
          <w:bCs/>
          <w:color w:val="auto"/>
          <w:spacing w:val="40"/>
          <w:sz w:val="32"/>
          <w:szCs w:val="32"/>
          <w:highlight w:val="none"/>
        </w:rPr>
      </w:pPr>
      <w:r>
        <w:rPr>
          <w:rFonts w:hint="eastAsia" w:ascii="方正小标宋简体" w:hAnsi="方正小标宋简体" w:eastAsia="方正小标宋简体" w:cs="方正小标宋简体"/>
          <w:bCs/>
          <w:color w:val="auto"/>
          <w:spacing w:val="40"/>
          <w:sz w:val="32"/>
          <w:szCs w:val="32"/>
          <w:highlight w:val="none"/>
        </w:rPr>
        <w:t>湖州南浔城投城市建设集团有限公司</w:t>
      </w:r>
    </w:p>
    <w:p w14:paraId="7AA01B81">
      <w:pPr>
        <w:adjustRightInd w:val="0"/>
        <w:snapToGrid w:val="0"/>
        <w:spacing w:line="560" w:lineRule="exact"/>
        <w:ind w:firstLine="800"/>
        <w:jc w:val="center"/>
        <w:rPr>
          <w:rFonts w:ascii="方正小标宋简体" w:hAnsi="方正小标宋简体" w:eastAsia="方正小标宋简体" w:cs="方正小标宋简体"/>
          <w:bCs/>
          <w:color w:val="auto"/>
          <w:spacing w:val="40"/>
          <w:sz w:val="32"/>
          <w:szCs w:val="32"/>
          <w:highlight w:val="none"/>
        </w:rPr>
      </w:pPr>
      <w:r>
        <w:rPr>
          <w:rFonts w:hint="eastAsia" w:ascii="方正小标宋简体" w:hAnsi="方正小标宋简体" w:eastAsia="方正小标宋简体" w:cs="方正小标宋简体"/>
          <w:bCs/>
          <w:color w:val="auto"/>
          <w:spacing w:val="40"/>
          <w:sz w:val="32"/>
          <w:szCs w:val="32"/>
          <w:highlight w:val="none"/>
        </w:rPr>
        <w:t>安全生产目标管理责任书</w:t>
      </w:r>
    </w:p>
    <w:p w14:paraId="2938DA20">
      <w:pPr>
        <w:adjustRightInd w:val="0"/>
        <w:snapToGrid w:val="0"/>
        <w:spacing w:line="560" w:lineRule="exact"/>
        <w:ind w:firstLine="800"/>
        <w:jc w:val="center"/>
        <w:rPr>
          <w:rFonts w:ascii="方正小标宋简体" w:hAnsi="方正小标宋简体" w:eastAsia="方正小标宋简体" w:cs="方正小标宋简体"/>
          <w:bCs/>
          <w:color w:val="auto"/>
          <w:spacing w:val="40"/>
          <w:sz w:val="32"/>
          <w:szCs w:val="32"/>
          <w:highlight w:val="none"/>
        </w:rPr>
      </w:pPr>
    </w:p>
    <w:p w14:paraId="47918F4D">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为了进一步加强项目安全生产监督管理工作，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rPr>
        <w:t>湖州南浔城投城市建设集团有限公司</w:t>
      </w:r>
      <w:r>
        <w:rPr>
          <w:rFonts w:hint="eastAsia" w:ascii="仿宋_GB2312" w:hAnsi="仿宋_GB2312" w:eastAsia="仿宋_GB2312" w:cs="仿宋_GB2312"/>
          <w:color w:val="auto"/>
          <w:sz w:val="28"/>
          <w:szCs w:val="28"/>
          <w:highlight w:val="none"/>
        </w:rPr>
        <w:t>（建设单位，甲方）与</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（以下简称责任单位，乙方）签订施工安全责任书。</w:t>
      </w:r>
    </w:p>
    <w:p w14:paraId="74741540">
      <w:pPr>
        <w:numPr>
          <w:ilvl w:val="0"/>
          <w:numId w:val="3"/>
        </w:num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乙方安全生产责任目标</w:t>
      </w:r>
    </w:p>
    <w:p w14:paraId="6E2C4198">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（一）认真贯彻执行国家、省、市和各级监管部门安全生产与综合治理方针、政策、法律法规、规范性文件与湖州南浔城市投资发展集团有限公司制定的各项规章制度。</w:t>
      </w:r>
    </w:p>
    <w:p w14:paraId="3CF88329">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坚持“安全第一、预防为主、综合治理”的方针和“管行业必须管安全、管业务必须管安全、管生产经营必须管安全”、“谁主管、谁负责”的原则，健全“党政同责、一岗双责、齐抓共管、失职追责”安全生产责任体系，持续深化“平安”和“法治”建设。</w:t>
      </w:r>
    </w:p>
    <w:p w14:paraId="4E476A87">
      <w:pPr>
        <w:numPr>
          <w:ilvl w:val="0"/>
          <w:numId w:val="4"/>
        </w:num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承建项目不发生以下各类事故</w:t>
      </w:r>
    </w:p>
    <w:p w14:paraId="15BF3E28">
      <w:pPr>
        <w:numPr>
          <w:ilvl w:val="0"/>
          <w:numId w:val="5"/>
        </w:num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14:paraId="682F22E2">
      <w:pPr>
        <w:numPr>
          <w:ilvl w:val="0"/>
          <w:numId w:val="5"/>
        </w:num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14:paraId="3B01594C">
      <w:pPr>
        <w:numPr>
          <w:ilvl w:val="0"/>
          <w:numId w:val="5"/>
        </w:num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p>
    <w:p w14:paraId="4B87C32A">
      <w:pPr>
        <w:numPr>
          <w:ilvl w:val="0"/>
          <w:numId w:val="5"/>
        </w:num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p>
    <w:p w14:paraId="4088440B">
      <w:pPr>
        <w:numPr>
          <w:ilvl w:val="0"/>
          <w:numId w:val="5"/>
        </w:num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p>
    <w:p w14:paraId="02DA6B01">
      <w:pPr>
        <w:numPr>
          <w:ilvl w:val="0"/>
          <w:numId w:val="5"/>
        </w:num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p>
    <w:p w14:paraId="00178909">
      <w:pPr>
        <w:numPr>
          <w:ilvl w:val="0"/>
          <w:numId w:val="5"/>
        </w:num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p>
    <w:p w14:paraId="65FF3528">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（四）支持并协助政府相关部门开展工程建设领城的扫黑除恶工作,以及全社会的反恐工作,为社会和谱稳定做出应有的贡献。</w:t>
      </w:r>
    </w:p>
    <w:p w14:paraId="05FCD232">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（五）开展单位经营班子各成员安全生产（消防安全)述职工作。</w:t>
      </w:r>
    </w:p>
    <w:p w14:paraId="25420C11">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（六）研究制定加强本单位安全生产（消防安全)、应急管理工作的具体实施措施或办法。</w:t>
      </w:r>
    </w:p>
    <w:p w14:paraId="3264087B">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（七）制定健全吊装、登高、有限空间、易燃易爆场所用电、动火等危险作业操作规程，落实作业审批、现场监控等工作。</w:t>
      </w:r>
    </w:p>
    <w:p w14:paraId="35314172">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（八）有分包和业务协作的单位，制订对分包和协作单位安全管理制度，并组织实施。</w:t>
      </w:r>
    </w:p>
    <w:p w14:paraId="3C3B44EE">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（九）制订与当地政府有效衔接的应急预案。</w:t>
      </w:r>
    </w:p>
    <w:p w14:paraId="54EEC567">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（十）组织开展“安全生产月”、防灾减灾日”、“消防安全宣传月”等主题宣传活动。</w:t>
      </w:r>
    </w:p>
    <w:p w14:paraId="4069A750">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（十一）工程施工作业现场安全设施设备达到标准要求。</w:t>
      </w:r>
    </w:p>
    <w:p w14:paraId="44917966">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（十二）治安内保、调解、信访、消防、反（防）恐组织机构健全，分工明确，责任到人。</w:t>
      </w:r>
    </w:p>
    <w:p w14:paraId="03D1C585">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（十三）治安、安全、消防、反（防）恐、信访、维稳等各项工作措施落实到位。</w:t>
      </w:r>
    </w:p>
    <w:p w14:paraId="2F80EE1D">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二、其他事项</w:t>
      </w:r>
    </w:p>
    <w:p w14:paraId="774AD711">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（一）对执行本责任书工作突出，成绩优秀的单位给予表彰。对年度安全生产工作考核不合格、重要安全生产工作任务未完成的进行通报批评。</w:t>
      </w:r>
    </w:p>
    <w:p w14:paraId="17C50636">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（二）责任书签字人如工作发生变动，接任人为自然签字人。</w:t>
      </w:r>
    </w:p>
    <w:p w14:paraId="66E350DD">
      <w:pPr>
        <w:spacing w:line="560" w:lineRule="exact"/>
        <w:ind w:firstLine="560" w:firstLineChars="200"/>
        <w:rPr>
          <w:color w:val="auto"/>
          <w:sz w:val="28"/>
          <w:szCs w:val="28"/>
          <w:highlight w:val="none"/>
        </w:rPr>
      </w:pPr>
      <w:r>
        <w:rPr>
          <w:rFonts w:hint="eastAsia" w:ascii="仿宋_GB2312" w:hAnsi="仿宋_GB2312" w:eastAsia="仿宋_GB2312" w:cs="仿宋_GB2312"/>
          <w:color w:val="auto"/>
          <w:sz w:val="28"/>
          <w:szCs w:val="28"/>
          <w:highlight w:val="none"/>
        </w:rPr>
        <w:t>（三）本责任书一式两份，长期有效。</w:t>
      </w:r>
    </w:p>
    <w:p w14:paraId="11E0AE84">
      <w:pPr>
        <w:spacing w:line="560" w:lineRule="exact"/>
        <w:ind w:firstLine="560" w:firstLineChars="200"/>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p>
    <w:p w14:paraId="24A764F3">
      <w:pPr>
        <w:spacing w:line="560" w:lineRule="exact"/>
        <w:ind w:firstLine="560" w:firstLineChars="200"/>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承诺单位（盖章）：</w:t>
      </w:r>
    </w:p>
    <w:p w14:paraId="0E4CB818">
      <w:pPr>
        <w:spacing w:line="560" w:lineRule="exact"/>
        <w:ind w:firstLine="560" w:firstLineChars="200"/>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法定代表人（签字或盖章）：</w:t>
      </w:r>
    </w:p>
    <w:p w14:paraId="5C62C00D">
      <w:pPr>
        <w:spacing w:line="560" w:lineRule="exact"/>
        <w:ind w:firstLine="1120" w:firstLineChars="400"/>
        <w:jc w:val="center"/>
        <w:rPr>
          <w:rFonts w:ascii="仿宋_GB2312" w:hAnsi="仿宋_GB2312" w:eastAsia="仿宋_GB2312" w:cs="仿宋_GB2312"/>
          <w:color w:val="auto"/>
          <w:sz w:val="28"/>
          <w:szCs w:val="28"/>
          <w:highlight w:val="none"/>
        </w:rPr>
        <w:sectPr>
          <w:pgSz w:w="11906" w:h="16838"/>
          <w:pgMar w:top="1440" w:right="1264" w:bottom="1440" w:left="1179" w:header="851" w:footer="992" w:gutter="0"/>
          <w:pgNumType w:fmt="numberInDash"/>
          <w:cols w:space="720" w:num="1"/>
          <w:docGrid w:type="lines" w:linePitch="315" w:charSpace="0"/>
        </w:sectPr>
      </w:pPr>
      <w:r>
        <w:rPr>
          <w:rFonts w:hint="eastAsia" w:ascii="仿宋_GB2312" w:hAnsi="仿宋_GB2312" w:eastAsia="仿宋_GB2312" w:cs="仿宋_GB2312"/>
          <w:color w:val="auto"/>
          <w:sz w:val="28"/>
          <w:szCs w:val="28"/>
          <w:highlight w:val="none"/>
        </w:rPr>
        <w:t xml:space="preserve"> 年   月    日  </w:t>
      </w:r>
    </w:p>
    <w:p w14:paraId="6D2CFE4B">
      <w:pPr>
        <w:pStyle w:val="30"/>
        <w:spacing w:beforeLines="0" w:afterLines="0" w:line="560" w:lineRule="exact"/>
        <w:ind w:firstLine="640"/>
        <w:rPr>
          <w:rFonts w:ascii="方正小标宋简体" w:hAnsi="方正小标宋简体" w:eastAsia="方正小标宋简体" w:cs="方正小标宋简体"/>
          <w:b w:val="0"/>
          <w:bCs w:val="0"/>
          <w:color w:val="auto"/>
          <w:sz w:val="32"/>
          <w:szCs w:val="32"/>
          <w:highlight w:val="none"/>
        </w:rPr>
      </w:pPr>
      <w:r>
        <w:rPr>
          <w:rFonts w:hint="eastAsia" w:ascii="方正小标宋简体" w:hAnsi="方正小标宋简体" w:eastAsia="方正小标宋简体" w:cs="方正小标宋简体"/>
          <w:b w:val="0"/>
          <w:bCs w:val="0"/>
          <w:color w:val="auto"/>
          <w:sz w:val="32"/>
          <w:szCs w:val="32"/>
          <w:highlight w:val="none"/>
        </w:rPr>
        <w:t>廉洁自律承诺书</w:t>
      </w:r>
    </w:p>
    <w:p w14:paraId="703C120F">
      <w:pPr>
        <w:pStyle w:val="30"/>
        <w:spacing w:beforeLines="0" w:afterLines="0" w:line="560" w:lineRule="exact"/>
        <w:ind w:firstLine="560"/>
        <w:rPr>
          <w:rFonts w:ascii="方正小标宋简体" w:hAnsi="方正小标宋简体" w:eastAsia="方正小标宋简体" w:cs="方正小标宋简体"/>
          <w:b w:val="0"/>
          <w:bCs w:val="0"/>
          <w:color w:val="auto"/>
          <w:sz w:val="28"/>
          <w:szCs w:val="28"/>
          <w:highlight w:val="none"/>
        </w:rPr>
      </w:pPr>
    </w:p>
    <w:p w14:paraId="3CDB5367">
      <w:pPr>
        <w:pStyle w:val="31"/>
        <w:spacing w:line="560" w:lineRule="exact"/>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为了有效遏制不公平竞争和违法违规违纪问题的发生，确保招标工作的公平、公正、公开，特向贵司郑重承诺，在参与贵司工程项目内部招投标过程中严格遵守下列行为准则：</w:t>
      </w:r>
    </w:p>
    <w:p w14:paraId="5A6A6BEA">
      <w:pPr>
        <w:pStyle w:val="31"/>
        <w:spacing w:line="560" w:lineRule="exact"/>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1、严格遵守国家有关法律法规及相关政策，以及廉洁从业的各项规定；</w:t>
      </w:r>
    </w:p>
    <w:p w14:paraId="57067421">
      <w:pPr>
        <w:pStyle w:val="31"/>
        <w:spacing w:line="560" w:lineRule="exact"/>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2、不以任何理由、任何形式向招标人相关工作人员或其亲戚、朋友等利益相关人提供宴请或馈赠礼金、购物卡、会员卡、电子礼卡、有价证券、贵重物品及好处费、感谢费等；</w:t>
      </w:r>
    </w:p>
    <w:p w14:paraId="4B15A351">
      <w:pPr>
        <w:pStyle w:val="31"/>
        <w:spacing w:line="560" w:lineRule="exact"/>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3、不以任何名义为招标人相关工作人员或其亲戚、朋友等利益相关人支付、报销应由其个人支付的费用；</w:t>
      </w:r>
    </w:p>
    <w:p w14:paraId="5940D742">
      <w:pPr>
        <w:pStyle w:val="31"/>
        <w:spacing w:line="560" w:lineRule="exact"/>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4、不以任何理由安排招标人相关工作人员或其亲戚、朋友等利益相关人参加健身、娱乐和旅游等活动；</w:t>
      </w:r>
    </w:p>
    <w:p w14:paraId="428197C3">
      <w:pPr>
        <w:pStyle w:val="31"/>
        <w:spacing w:line="560" w:lineRule="exact"/>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5、不为招标人的业务部门、关联企业或人员购置或提供通讯工具、交通工具、高档办公用品或为装修住房、配偶、子女的工作安排以及出国（境）等提供方便；</w:t>
      </w:r>
    </w:p>
    <w:p w14:paraId="1FF4FE6E">
      <w:pPr>
        <w:pStyle w:val="31"/>
        <w:spacing w:line="560" w:lineRule="exact"/>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6、不以贿赂之外的其他方式拉拢招标方相关工作人员，使其违背公平、公开、公正竞争原则，帮助实现中标目的；</w:t>
      </w:r>
    </w:p>
    <w:p w14:paraId="0FEC533A">
      <w:pPr>
        <w:pStyle w:val="31"/>
        <w:spacing w:line="560" w:lineRule="exact"/>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7、不在非公务场合洽谈业务，不一对一洽谈业务，不许诺事后给予招标人相关工作人员利益；</w:t>
      </w:r>
    </w:p>
    <w:p w14:paraId="530A8C68">
      <w:pPr>
        <w:pStyle w:val="31"/>
        <w:spacing w:line="560" w:lineRule="exact"/>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nxctjsjt@163.com；</w:t>
      </w:r>
    </w:p>
    <w:p w14:paraId="374D88E3">
      <w:pPr>
        <w:pStyle w:val="31"/>
        <w:spacing w:line="560" w:lineRule="exact"/>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14:paraId="1A40DF88">
      <w:pPr>
        <w:pStyle w:val="31"/>
        <w:spacing w:line="560" w:lineRule="exact"/>
        <w:ind w:firstLine="560"/>
        <w:rPr>
          <w:rFonts w:ascii="仿宋_GB2312" w:hAnsi="仿宋_GB2312" w:eastAsia="仿宋_GB2312" w:cs="仿宋_GB2312"/>
          <w:color w:val="auto"/>
          <w:sz w:val="28"/>
          <w:szCs w:val="28"/>
          <w:highlight w:val="none"/>
        </w:rPr>
      </w:pPr>
    </w:p>
    <w:p w14:paraId="296D9155">
      <w:pPr>
        <w:pStyle w:val="31"/>
        <w:spacing w:line="560" w:lineRule="exact"/>
        <w:ind w:firstLine="560"/>
        <w:rPr>
          <w:rFonts w:ascii="仿宋_GB2312" w:hAnsi="仿宋_GB2312" w:eastAsia="仿宋_GB2312" w:cs="仿宋_GB2312"/>
          <w:color w:val="auto"/>
          <w:sz w:val="28"/>
          <w:szCs w:val="28"/>
          <w:highlight w:val="none"/>
        </w:rPr>
      </w:pPr>
    </w:p>
    <w:p w14:paraId="12FAB828">
      <w:pPr>
        <w:spacing w:line="560" w:lineRule="exact"/>
        <w:ind w:firstLine="560" w:firstLineChars="200"/>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承诺单位（盖章）：</w:t>
      </w:r>
    </w:p>
    <w:p w14:paraId="31777425">
      <w:pPr>
        <w:spacing w:line="560" w:lineRule="exact"/>
        <w:ind w:firstLine="560" w:firstLineChars="200"/>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法定代表人（签字或盖章）：</w:t>
      </w:r>
    </w:p>
    <w:p w14:paraId="7A61248C">
      <w:pPr>
        <w:spacing w:line="560" w:lineRule="exact"/>
        <w:ind w:firstLine="1120" w:firstLineChars="400"/>
        <w:jc w:val="center"/>
        <w:rPr>
          <w:rFonts w:ascii="仿宋_GB2312" w:hAnsi="仿宋_GB2312" w:eastAsia="仿宋_GB2312" w:cs="仿宋_GB2312"/>
          <w:color w:val="auto"/>
          <w:sz w:val="28"/>
          <w:szCs w:val="28"/>
          <w:highlight w:val="none"/>
        </w:rPr>
        <w:sectPr>
          <w:pgSz w:w="11906" w:h="16838"/>
          <w:pgMar w:top="1440" w:right="1264" w:bottom="1440" w:left="1179" w:header="851" w:footer="992" w:gutter="0"/>
          <w:pgNumType w:fmt="numberInDash"/>
          <w:cols w:space="720" w:num="1"/>
          <w:docGrid w:type="lines" w:linePitch="315" w:charSpace="0"/>
        </w:sectPr>
      </w:pPr>
      <w:r>
        <w:rPr>
          <w:rFonts w:hint="eastAsia" w:ascii="仿宋_GB2312" w:hAnsi="仿宋_GB2312" w:eastAsia="仿宋_GB2312" w:cs="仿宋_GB2312"/>
          <w:color w:val="auto"/>
          <w:sz w:val="28"/>
          <w:szCs w:val="28"/>
          <w:highlight w:val="none"/>
        </w:rPr>
        <w:t xml:space="preserve"> 年   月    日  </w:t>
      </w:r>
    </w:p>
    <w:p w14:paraId="198F1EE1">
      <w:pPr>
        <w:pStyle w:val="30"/>
        <w:spacing w:beforeLines="0" w:afterLines="0" w:line="560" w:lineRule="exact"/>
        <w:ind w:firstLine="640"/>
        <w:rPr>
          <w:rFonts w:ascii="方正小标宋简体" w:hAnsi="方正小标宋简体" w:eastAsia="方正小标宋简体" w:cs="方正小标宋简体"/>
          <w:b w:val="0"/>
          <w:bCs w:val="0"/>
          <w:color w:val="auto"/>
          <w:sz w:val="32"/>
          <w:szCs w:val="32"/>
          <w:highlight w:val="none"/>
        </w:rPr>
      </w:pPr>
      <w:r>
        <w:rPr>
          <w:rFonts w:hint="eastAsia" w:ascii="方正小标宋简体" w:hAnsi="方正小标宋简体" w:eastAsia="方正小标宋简体" w:cs="方正小标宋简体"/>
          <w:b w:val="0"/>
          <w:bCs w:val="0"/>
          <w:color w:val="auto"/>
          <w:sz w:val="32"/>
          <w:szCs w:val="32"/>
          <w:highlight w:val="none"/>
        </w:rPr>
        <w:t>不参与围标串标承诺书</w:t>
      </w:r>
    </w:p>
    <w:p w14:paraId="57F7BEAC">
      <w:pPr>
        <w:pStyle w:val="30"/>
        <w:spacing w:beforeLines="0" w:afterLines="0" w:line="560" w:lineRule="exact"/>
        <w:ind w:firstLine="560"/>
        <w:rPr>
          <w:rFonts w:ascii="方正小标宋简体" w:hAnsi="方正小标宋简体" w:eastAsia="方正小标宋简体" w:cs="方正小标宋简体"/>
          <w:b w:val="0"/>
          <w:bCs w:val="0"/>
          <w:color w:val="auto"/>
          <w:sz w:val="28"/>
          <w:szCs w:val="28"/>
          <w:highlight w:val="none"/>
        </w:rPr>
      </w:pPr>
    </w:p>
    <w:p w14:paraId="577C0F0B">
      <w:pPr>
        <w:pStyle w:val="31"/>
        <w:spacing w:line="560" w:lineRule="exact"/>
        <w:ind w:firstLine="560"/>
        <w:rPr>
          <w:rFonts w:cs="仿宋"/>
          <w:color w:val="auto"/>
          <w:sz w:val="28"/>
          <w:szCs w:val="28"/>
          <w:highlight w:val="none"/>
        </w:rPr>
      </w:pPr>
      <w:r>
        <w:rPr>
          <w:rFonts w:hint="eastAsia" w:cs="仿宋"/>
          <w:color w:val="auto"/>
          <w:sz w:val="28"/>
          <w:szCs w:val="28"/>
          <w:highlight w:val="none"/>
        </w:rPr>
        <w:t>本人作为经授权的投标人代表，清楚知晓湖州南浔城投城市建设集团有限公司工程项目内部招投标活动，对以下事项作出承诺：</w:t>
      </w:r>
    </w:p>
    <w:p w14:paraId="5EEF3970">
      <w:pPr>
        <w:pStyle w:val="31"/>
        <w:spacing w:line="560" w:lineRule="exact"/>
        <w:ind w:firstLine="560"/>
        <w:rPr>
          <w:rFonts w:cs="仿宋"/>
          <w:color w:val="auto"/>
          <w:sz w:val="28"/>
          <w:szCs w:val="28"/>
          <w:highlight w:val="none"/>
        </w:rPr>
      </w:pPr>
      <w:r>
        <w:rPr>
          <w:rFonts w:hint="eastAsia" w:cs="仿宋"/>
          <w:color w:val="auto"/>
          <w:sz w:val="28"/>
          <w:szCs w:val="28"/>
          <w:highlight w:val="none"/>
        </w:rPr>
        <w:t>一、本人承诺遵循公开、公平、公正、诚实守信的原则，依法依规参与本项目竞标；</w:t>
      </w:r>
    </w:p>
    <w:p w14:paraId="64D7B6A4">
      <w:pPr>
        <w:pStyle w:val="31"/>
        <w:spacing w:line="560" w:lineRule="exact"/>
        <w:ind w:firstLine="560"/>
        <w:rPr>
          <w:rFonts w:cs="仿宋"/>
          <w:color w:val="auto"/>
          <w:sz w:val="28"/>
          <w:szCs w:val="28"/>
          <w:highlight w:val="none"/>
        </w:rPr>
      </w:pPr>
      <w:r>
        <w:rPr>
          <w:rFonts w:hint="eastAsia" w:cs="仿宋"/>
          <w:color w:val="auto"/>
          <w:sz w:val="28"/>
          <w:szCs w:val="28"/>
          <w:highlight w:val="none"/>
        </w:rPr>
        <w:t>二、本人在本项目招标投标活动中，未参与围标串标；</w:t>
      </w:r>
    </w:p>
    <w:p w14:paraId="0BD50C9E">
      <w:pPr>
        <w:pStyle w:val="31"/>
        <w:spacing w:line="560" w:lineRule="exact"/>
        <w:ind w:firstLine="560"/>
        <w:rPr>
          <w:rFonts w:cs="仿宋"/>
          <w:color w:val="auto"/>
          <w:sz w:val="28"/>
          <w:szCs w:val="28"/>
          <w:highlight w:val="none"/>
        </w:rPr>
      </w:pPr>
      <w:r>
        <w:rPr>
          <w:rFonts w:hint="eastAsia" w:cs="仿宋"/>
          <w:color w:val="auto"/>
          <w:sz w:val="28"/>
          <w:szCs w:val="28"/>
          <w:highlight w:val="none"/>
        </w:rPr>
        <w:t>三、本人如被查实在本项目招标投标活动中存在围标串标的，递交投标文件行为作为实施串通投标违法行为的关键环节，本人承担直接责任人员法律责任，接受相应行政处罚和失信惩戒。</w:t>
      </w:r>
    </w:p>
    <w:p w14:paraId="6A51E32F">
      <w:pPr>
        <w:pStyle w:val="31"/>
        <w:spacing w:line="560" w:lineRule="exact"/>
        <w:ind w:firstLine="560"/>
        <w:rPr>
          <w:rFonts w:cs="仿宋"/>
          <w:color w:val="auto"/>
          <w:sz w:val="28"/>
          <w:szCs w:val="28"/>
          <w:highlight w:val="none"/>
        </w:rPr>
      </w:pPr>
    </w:p>
    <w:p w14:paraId="2648276B">
      <w:pPr>
        <w:pStyle w:val="14"/>
        <w:spacing w:before="0" w:beforeAutospacing="0" w:after="0" w:afterAutospacing="0" w:line="560" w:lineRule="exact"/>
        <w:ind w:firstLine="3920" w:firstLineChars="14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投标单位（盖章）：</w:t>
      </w:r>
    </w:p>
    <w:p w14:paraId="3778279A">
      <w:pPr>
        <w:pStyle w:val="14"/>
        <w:spacing w:before="0" w:beforeAutospacing="0" w:after="0" w:afterAutospacing="0" w:line="560" w:lineRule="exact"/>
        <w:ind w:firstLine="3360" w:firstLineChars="1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法定代表人（签字或盖章）：</w:t>
      </w:r>
    </w:p>
    <w:p w14:paraId="618423D4">
      <w:pPr>
        <w:pStyle w:val="14"/>
        <w:spacing w:before="0" w:beforeAutospacing="0" w:after="0" w:afterAutospacing="0"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授权唯一代理人（内部施工班组负责人）（签名）：</w:t>
      </w:r>
    </w:p>
    <w:p w14:paraId="05803C15">
      <w:pPr>
        <w:spacing w:line="56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年   月   日</w:t>
      </w:r>
    </w:p>
    <w:p w14:paraId="085E0BDE">
      <w:pPr>
        <w:pStyle w:val="15"/>
        <w:rPr>
          <w:color w:val="auto"/>
          <w:highlight w:val="none"/>
        </w:rPr>
      </w:pPr>
    </w:p>
    <w:p w14:paraId="67F6505E">
      <w:pPr>
        <w:pStyle w:val="15"/>
        <w:rPr>
          <w:color w:val="auto"/>
          <w:highlight w:val="none"/>
        </w:rPr>
      </w:pPr>
    </w:p>
    <w:p w14:paraId="65C15CEA">
      <w:pPr>
        <w:pStyle w:val="15"/>
        <w:rPr>
          <w:color w:val="auto"/>
          <w:highlight w:val="none"/>
        </w:rPr>
      </w:pPr>
    </w:p>
    <w:p w14:paraId="1102D3FF">
      <w:pPr>
        <w:pStyle w:val="15"/>
        <w:rPr>
          <w:color w:val="auto"/>
          <w:highlight w:val="none"/>
        </w:rPr>
      </w:pPr>
    </w:p>
    <w:p w14:paraId="1563776E">
      <w:pPr>
        <w:pStyle w:val="15"/>
        <w:rPr>
          <w:color w:val="auto"/>
          <w:highlight w:val="none"/>
        </w:rPr>
      </w:pPr>
    </w:p>
    <w:p w14:paraId="7D2CDF6C">
      <w:pPr>
        <w:pStyle w:val="15"/>
        <w:rPr>
          <w:color w:val="auto"/>
          <w:highlight w:val="none"/>
        </w:rPr>
      </w:pPr>
    </w:p>
    <w:p w14:paraId="7BD9EBB7">
      <w:pPr>
        <w:pStyle w:val="15"/>
        <w:rPr>
          <w:color w:val="auto"/>
          <w:highlight w:val="none"/>
        </w:rPr>
      </w:pPr>
    </w:p>
    <w:p w14:paraId="59F2BFBC">
      <w:pPr>
        <w:pStyle w:val="15"/>
        <w:rPr>
          <w:color w:val="auto"/>
          <w:highlight w:val="none"/>
        </w:rPr>
      </w:pPr>
    </w:p>
    <w:p w14:paraId="06D69A9A">
      <w:pPr>
        <w:pStyle w:val="15"/>
        <w:rPr>
          <w:color w:val="auto"/>
          <w:highlight w:val="none"/>
        </w:rPr>
      </w:pPr>
    </w:p>
    <w:p w14:paraId="44845383">
      <w:pPr>
        <w:pStyle w:val="15"/>
        <w:rPr>
          <w:color w:val="auto"/>
          <w:highlight w:val="none"/>
        </w:rPr>
      </w:pPr>
    </w:p>
    <w:p w14:paraId="2F966A2F">
      <w:pPr>
        <w:pStyle w:val="4"/>
        <w:spacing w:before="0" w:after="0" w:line="560" w:lineRule="exact"/>
        <w:ind w:firstLine="640"/>
        <w:jc w:val="center"/>
        <w:rPr>
          <w:rFonts w:ascii="方正小标宋简体" w:hAnsi="方正小标宋简体" w:eastAsia="方正小标宋简体" w:cs="方正小标宋简体"/>
          <w:b w:val="0"/>
          <w:bCs w:val="0"/>
          <w:color w:val="auto"/>
          <w:kern w:val="2"/>
          <w:highlight w:val="none"/>
        </w:rPr>
      </w:pPr>
      <w:r>
        <w:rPr>
          <w:rFonts w:hint="eastAsia" w:ascii="方正小标宋简体" w:hAnsi="方正小标宋简体" w:eastAsia="方正小标宋简体" w:cs="方正小标宋简体"/>
          <w:b w:val="0"/>
          <w:bCs w:val="0"/>
          <w:color w:val="auto"/>
          <w:kern w:val="2"/>
          <w:highlight w:val="none"/>
        </w:rPr>
        <w:t>公司基本账户开户证明及账号信息</w:t>
      </w:r>
    </w:p>
    <w:p w14:paraId="2C4AAAB9">
      <w:pPr>
        <w:pStyle w:val="13"/>
        <w:spacing w:line="360" w:lineRule="exact"/>
        <w:ind w:left="0" w:leftChars="0"/>
        <w:jc w:val="center"/>
        <w:rPr>
          <w:rFonts w:ascii="仿宋" w:hAnsi="仿宋" w:eastAsia="仿宋" w:cs="仿宋"/>
          <w:color w:val="auto"/>
          <w:sz w:val="28"/>
          <w:szCs w:val="28"/>
          <w:highlight w:val="none"/>
        </w:rPr>
      </w:pPr>
    </w:p>
    <w:p w14:paraId="5EDABC68">
      <w:pPr>
        <w:pStyle w:val="13"/>
        <w:spacing w:line="360" w:lineRule="exact"/>
        <w:ind w:left="0" w:leftChars="0"/>
        <w:jc w:val="center"/>
        <w:rPr>
          <w:rFonts w:ascii="仿宋" w:hAnsi="仿宋" w:eastAsia="仿宋" w:cs="仿宋"/>
          <w:color w:val="auto"/>
          <w:sz w:val="28"/>
          <w:szCs w:val="28"/>
          <w:highlight w:val="none"/>
        </w:rPr>
      </w:pPr>
    </w:p>
    <w:p w14:paraId="26A4796F">
      <w:pPr>
        <w:pStyle w:val="13"/>
        <w:spacing w:line="360" w:lineRule="exact"/>
        <w:ind w:left="0" w:leftChars="0"/>
        <w:jc w:val="center"/>
        <w:rPr>
          <w:rFonts w:ascii="仿宋" w:hAnsi="仿宋" w:eastAsia="仿宋" w:cs="仿宋"/>
          <w:color w:val="auto"/>
          <w:sz w:val="28"/>
          <w:szCs w:val="28"/>
          <w:highlight w:val="none"/>
        </w:rPr>
      </w:pPr>
    </w:p>
    <w:p w14:paraId="1A14F719">
      <w:pPr>
        <w:pStyle w:val="13"/>
        <w:spacing w:line="360" w:lineRule="exact"/>
        <w:ind w:left="0" w:leftChars="0"/>
        <w:jc w:val="center"/>
        <w:rPr>
          <w:rFonts w:ascii="仿宋" w:hAnsi="仿宋" w:eastAsia="仿宋" w:cs="仿宋"/>
          <w:color w:val="auto"/>
          <w:sz w:val="28"/>
          <w:szCs w:val="28"/>
          <w:highlight w:val="none"/>
        </w:rPr>
      </w:pPr>
    </w:p>
    <w:p w14:paraId="5F7D261F">
      <w:pPr>
        <w:pStyle w:val="13"/>
        <w:spacing w:line="360" w:lineRule="exact"/>
        <w:ind w:left="0" w:leftChars="0"/>
        <w:jc w:val="center"/>
        <w:rPr>
          <w:rFonts w:ascii="仿宋" w:hAnsi="仿宋" w:eastAsia="仿宋" w:cs="仿宋"/>
          <w:color w:val="auto"/>
          <w:sz w:val="28"/>
          <w:szCs w:val="28"/>
          <w:highlight w:val="none"/>
        </w:rPr>
      </w:pPr>
    </w:p>
    <w:p w14:paraId="1023F22F">
      <w:pPr>
        <w:pStyle w:val="13"/>
        <w:spacing w:line="360" w:lineRule="exact"/>
        <w:ind w:left="0" w:leftChars="0"/>
        <w:jc w:val="center"/>
        <w:rPr>
          <w:rFonts w:ascii="仿宋" w:hAnsi="仿宋" w:eastAsia="仿宋" w:cs="仿宋"/>
          <w:color w:val="auto"/>
          <w:sz w:val="28"/>
          <w:szCs w:val="28"/>
          <w:highlight w:val="none"/>
        </w:rPr>
      </w:pPr>
    </w:p>
    <w:p w14:paraId="6FD65811">
      <w:pPr>
        <w:pStyle w:val="13"/>
        <w:spacing w:line="360" w:lineRule="exact"/>
        <w:ind w:left="0" w:leftChars="0"/>
        <w:jc w:val="center"/>
        <w:rPr>
          <w:rFonts w:ascii="仿宋" w:hAnsi="仿宋" w:eastAsia="仿宋" w:cs="仿宋"/>
          <w:color w:val="auto"/>
          <w:sz w:val="28"/>
          <w:szCs w:val="28"/>
          <w:highlight w:val="none"/>
        </w:rPr>
      </w:pPr>
    </w:p>
    <w:p w14:paraId="08AE209F">
      <w:pPr>
        <w:pStyle w:val="13"/>
        <w:spacing w:line="360" w:lineRule="exact"/>
        <w:ind w:left="0" w:leftChars="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（正文内容）</w:t>
      </w:r>
    </w:p>
    <w:p w14:paraId="12952722">
      <w:pPr>
        <w:pStyle w:val="2"/>
        <w:spacing w:line="360" w:lineRule="exact"/>
        <w:ind w:firstLine="280"/>
        <w:rPr>
          <w:rFonts w:ascii="仿宋" w:hAnsi="仿宋" w:eastAsia="仿宋" w:cs="仿宋"/>
          <w:color w:val="auto"/>
          <w:sz w:val="28"/>
          <w:szCs w:val="28"/>
          <w:highlight w:val="none"/>
        </w:rPr>
      </w:pPr>
    </w:p>
    <w:p w14:paraId="1B1E1762">
      <w:pPr>
        <w:spacing w:line="360" w:lineRule="exact"/>
        <w:rPr>
          <w:rFonts w:ascii="仿宋" w:hAnsi="仿宋" w:eastAsia="仿宋" w:cs="仿宋"/>
          <w:color w:val="auto"/>
          <w:sz w:val="28"/>
          <w:szCs w:val="28"/>
          <w:highlight w:val="none"/>
        </w:rPr>
      </w:pPr>
    </w:p>
    <w:p w14:paraId="7FC9BE04">
      <w:pPr>
        <w:pStyle w:val="2"/>
        <w:spacing w:line="360" w:lineRule="exact"/>
        <w:ind w:firstLine="280"/>
        <w:rPr>
          <w:rFonts w:ascii="仿宋" w:hAnsi="仿宋" w:eastAsia="仿宋" w:cs="仿宋"/>
          <w:color w:val="auto"/>
          <w:sz w:val="28"/>
          <w:szCs w:val="28"/>
          <w:highlight w:val="none"/>
        </w:rPr>
      </w:pPr>
    </w:p>
    <w:p w14:paraId="22D42C2A">
      <w:pPr>
        <w:pStyle w:val="13"/>
        <w:spacing w:line="360" w:lineRule="exact"/>
        <w:rPr>
          <w:rFonts w:ascii="仿宋" w:hAnsi="仿宋" w:eastAsia="仿宋" w:cs="仿宋"/>
          <w:color w:val="auto"/>
          <w:sz w:val="28"/>
          <w:szCs w:val="28"/>
          <w:highlight w:val="none"/>
        </w:rPr>
      </w:pPr>
    </w:p>
    <w:p w14:paraId="279F8062">
      <w:pPr>
        <w:spacing w:line="360" w:lineRule="exact"/>
        <w:rPr>
          <w:rFonts w:ascii="仿宋" w:hAnsi="仿宋" w:eastAsia="仿宋" w:cs="仿宋"/>
          <w:color w:val="auto"/>
          <w:sz w:val="28"/>
          <w:szCs w:val="28"/>
          <w:highlight w:val="none"/>
        </w:rPr>
      </w:pPr>
    </w:p>
    <w:p w14:paraId="26CE64A8">
      <w:pPr>
        <w:pStyle w:val="2"/>
        <w:spacing w:line="360" w:lineRule="exact"/>
        <w:ind w:firstLine="280"/>
        <w:rPr>
          <w:rFonts w:ascii="仿宋" w:hAnsi="仿宋" w:eastAsia="仿宋" w:cs="仿宋"/>
          <w:color w:val="auto"/>
          <w:sz w:val="28"/>
          <w:szCs w:val="28"/>
          <w:highlight w:val="none"/>
        </w:rPr>
      </w:pPr>
    </w:p>
    <w:p w14:paraId="781127C0">
      <w:pPr>
        <w:pStyle w:val="13"/>
        <w:spacing w:line="360" w:lineRule="exact"/>
        <w:rPr>
          <w:rFonts w:ascii="仿宋" w:hAnsi="仿宋" w:eastAsia="仿宋" w:cs="仿宋"/>
          <w:color w:val="auto"/>
          <w:sz w:val="28"/>
          <w:szCs w:val="28"/>
          <w:highlight w:val="none"/>
        </w:rPr>
      </w:pPr>
    </w:p>
    <w:p w14:paraId="01E7F82B">
      <w:pPr>
        <w:spacing w:line="360" w:lineRule="exact"/>
        <w:rPr>
          <w:rFonts w:ascii="仿宋" w:hAnsi="仿宋" w:eastAsia="仿宋" w:cs="仿宋"/>
          <w:color w:val="auto"/>
          <w:sz w:val="28"/>
          <w:szCs w:val="28"/>
          <w:highlight w:val="none"/>
        </w:rPr>
      </w:pPr>
    </w:p>
    <w:p w14:paraId="26135427">
      <w:pPr>
        <w:pStyle w:val="2"/>
        <w:spacing w:line="360" w:lineRule="exact"/>
        <w:ind w:firstLine="280"/>
        <w:rPr>
          <w:rFonts w:ascii="仿宋" w:hAnsi="仿宋" w:eastAsia="仿宋" w:cs="仿宋"/>
          <w:color w:val="auto"/>
          <w:sz w:val="28"/>
          <w:szCs w:val="28"/>
          <w:highlight w:val="none"/>
        </w:rPr>
      </w:pPr>
    </w:p>
    <w:p w14:paraId="674913B5">
      <w:pPr>
        <w:pStyle w:val="13"/>
        <w:spacing w:line="360" w:lineRule="exact"/>
        <w:rPr>
          <w:rFonts w:ascii="仿宋" w:hAnsi="仿宋" w:eastAsia="仿宋" w:cs="仿宋"/>
          <w:color w:val="auto"/>
          <w:sz w:val="28"/>
          <w:szCs w:val="28"/>
          <w:highlight w:val="none"/>
        </w:rPr>
      </w:pPr>
    </w:p>
    <w:p w14:paraId="44D2B37A">
      <w:pPr>
        <w:spacing w:line="360" w:lineRule="exact"/>
        <w:rPr>
          <w:rFonts w:ascii="仿宋" w:hAnsi="仿宋" w:eastAsia="仿宋" w:cs="仿宋"/>
          <w:color w:val="auto"/>
          <w:sz w:val="28"/>
          <w:szCs w:val="28"/>
          <w:highlight w:val="none"/>
        </w:rPr>
      </w:pPr>
    </w:p>
    <w:p w14:paraId="271144F4">
      <w:pPr>
        <w:pStyle w:val="2"/>
        <w:spacing w:line="360" w:lineRule="exact"/>
        <w:ind w:firstLine="280"/>
        <w:rPr>
          <w:rFonts w:ascii="仿宋" w:hAnsi="仿宋" w:eastAsia="仿宋" w:cs="仿宋"/>
          <w:color w:val="auto"/>
          <w:sz w:val="28"/>
          <w:szCs w:val="28"/>
          <w:highlight w:val="none"/>
        </w:rPr>
      </w:pPr>
    </w:p>
    <w:p w14:paraId="4174CC40">
      <w:pPr>
        <w:pStyle w:val="13"/>
        <w:spacing w:line="360" w:lineRule="exact"/>
        <w:rPr>
          <w:rFonts w:ascii="仿宋" w:hAnsi="仿宋" w:eastAsia="仿宋" w:cs="仿宋"/>
          <w:color w:val="auto"/>
          <w:sz w:val="28"/>
          <w:szCs w:val="28"/>
          <w:highlight w:val="none"/>
        </w:rPr>
      </w:pPr>
    </w:p>
    <w:p w14:paraId="26F39787">
      <w:pPr>
        <w:spacing w:line="360" w:lineRule="exact"/>
        <w:rPr>
          <w:rFonts w:ascii="仿宋" w:hAnsi="仿宋" w:eastAsia="仿宋" w:cs="仿宋"/>
          <w:color w:val="auto"/>
          <w:sz w:val="28"/>
          <w:szCs w:val="28"/>
          <w:highlight w:val="none"/>
        </w:rPr>
      </w:pPr>
    </w:p>
    <w:p w14:paraId="34937D42">
      <w:pPr>
        <w:pStyle w:val="2"/>
        <w:spacing w:line="360" w:lineRule="exact"/>
        <w:ind w:firstLine="280"/>
        <w:rPr>
          <w:rFonts w:ascii="仿宋" w:hAnsi="仿宋" w:eastAsia="仿宋" w:cs="仿宋"/>
          <w:color w:val="auto"/>
          <w:sz w:val="28"/>
          <w:szCs w:val="28"/>
          <w:highlight w:val="none"/>
        </w:rPr>
      </w:pPr>
    </w:p>
    <w:p w14:paraId="3DD178F2">
      <w:pPr>
        <w:pStyle w:val="13"/>
        <w:spacing w:line="360" w:lineRule="exact"/>
        <w:rPr>
          <w:rFonts w:ascii="仿宋" w:hAnsi="仿宋" w:eastAsia="仿宋" w:cs="仿宋"/>
          <w:color w:val="auto"/>
          <w:sz w:val="28"/>
          <w:szCs w:val="28"/>
          <w:highlight w:val="none"/>
        </w:rPr>
      </w:pPr>
    </w:p>
    <w:p w14:paraId="5E461A99">
      <w:pPr>
        <w:spacing w:line="360" w:lineRule="exact"/>
        <w:rPr>
          <w:rFonts w:ascii="仿宋" w:hAnsi="仿宋" w:eastAsia="仿宋" w:cs="仿宋"/>
          <w:color w:val="auto"/>
          <w:sz w:val="28"/>
          <w:szCs w:val="28"/>
          <w:highlight w:val="none"/>
        </w:rPr>
      </w:pPr>
    </w:p>
    <w:p w14:paraId="41D46DE2">
      <w:pPr>
        <w:pStyle w:val="2"/>
        <w:spacing w:line="360" w:lineRule="exact"/>
        <w:ind w:firstLine="280"/>
        <w:rPr>
          <w:rFonts w:ascii="仿宋" w:hAnsi="仿宋" w:eastAsia="仿宋" w:cs="仿宋"/>
          <w:color w:val="auto"/>
          <w:sz w:val="28"/>
          <w:szCs w:val="28"/>
          <w:highlight w:val="none"/>
        </w:rPr>
      </w:pPr>
    </w:p>
    <w:p w14:paraId="50E94318">
      <w:pPr>
        <w:pStyle w:val="13"/>
        <w:spacing w:line="360" w:lineRule="exact"/>
        <w:rPr>
          <w:rFonts w:ascii="仿宋" w:hAnsi="仿宋" w:eastAsia="仿宋" w:cs="仿宋"/>
          <w:color w:val="auto"/>
          <w:sz w:val="28"/>
          <w:szCs w:val="28"/>
          <w:highlight w:val="none"/>
        </w:rPr>
      </w:pPr>
    </w:p>
    <w:p w14:paraId="0A567BC5">
      <w:pPr>
        <w:spacing w:line="360" w:lineRule="exact"/>
        <w:rPr>
          <w:rFonts w:ascii="仿宋" w:hAnsi="仿宋" w:eastAsia="仿宋" w:cs="仿宋"/>
          <w:color w:val="auto"/>
          <w:sz w:val="28"/>
          <w:szCs w:val="28"/>
          <w:highlight w:val="none"/>
        </w:rPr>
      </w:pPr>
    </w:p>
    <w:p w14:paraId="3929E06F">
      <w:pPr>
        <w:pStyle w:val="2"/>
        <w:spacing w:line="360" w:lineRule="exact"/>
        <w:ind w:firstLine="280"/>
        <w:rPr>
          <w:rFonts w:ascii="仿宋" w:hAnsi="仿宋" w:eastAsia="仿宋" w:cs="仿宋"/>
          <w:color w:val="auto"/>
          <w:sz w:val="28"/>
          <w:szCs w:val="28"/>
          <w:highlight w:val="none"/>
        </w:rPr>
      </w:pPr>
    </w:p>
    <w:p w14:paraId="734C068A">
      <w:pPr>
        <w:pStyle w:val="13"/>
        <w:spacing w:line="360" w:lineRule="exact"/>
        <w:rPr>
          <w:rFonts w:ascii="仿宋" w:hAnsi="仿宋" w:eastAsia="仿宋" w:cs="仿宋"/>
          <w:color w:val="auto"/>
          <w:sz w:val="28"/>
          <w:szCs w:val="28"/>
          <w:highlight w:val="none"/>
        </w:rPr>
      </w:pPr>
    </w:p>
    <w:p w14:paraId="0392CB09">
      <w:pPr>
        <w:spacing w:line="360" w:lineRule="exact"/>
        <w:rPr>
          <w:rFonts w:ascii="仿宋" w:hAnsi="仿宋" w:eastAsia="仿宋" w:cs="仿宋"/>
          <w:color w:val="auto"/>
          <w:sz w:val="28"/>
          <w:szCs w:val="28"/>
          <w:highlight w:val="none"/>
        </w:rPr>
      </w:pPr>
    </w:p>
    <w:p w14:paraId="6A07E082">
      <w:pPr>
        <w:pStyle w:val="4"/>
        <w:spacing w:before="0" w:after="0" w:line="560" w:lineRule="exact"/>
        <w:ind w:firstLine="560"/>
        <w:jc w:val="center"/>
        <w:rPr>
          <w:rFonts w:ascii="方正小标宋简体" w:hAnsi="方正小标宋简体" w:eastAsia="方正小标宋简体" w:cs="方正小标宋简体"/>
          <w:b w:val="0"/>
          <w:bCs w:val="0"/>
          <w:color w:val="auto"/>
          <w:kern w:val="2"/>
          <w:sz w:val="28"/>
          <w:szCs w:val="28"/>
          <w:highlight w:val="none"/>
        </w:rPr>
      </w:pPr>
      <w:r>
        <w:rPr>
          <w:rFonts w:hint="eastAsia" w:ascii="方正小标宋简体" w:hAnsi="方正小标宋简体" w:eastAsia="方正小标宋简体" w:cs="方正小标宋简体"/>
          <w:b w:val="0"/>
          <w:bCs w:val="0"/>
          <w:color w:val="auto"/>
          <w:kern w:val="2"/>
          <w:sz w:val="28"/>
          <w:szCs w:val="28"/>
          <w:highlight w:val="none"/>
        </w:rPr>
        <w:br w:type="page"/>
      </w:r>
      <w:r>
        <w:rPr>
          <w:rFonts w:hint="eastAsia" w:ascii="方正小标宋简体" w:hAnsi="方正小标宋简体" w:eastAsia="方正小标宋简体" w:cs="方正小标宋简体"/>
          <w:b w:val="0"/>
          <w:bCs w:val="0"/>
          <w:color w:val="auto"/>
          <w:kern w:val="2"/>
          <w:highlight w:val="none"/>
        </w:rPr>
        <w:t>项目管理机构配备情况表</w:t>
      </w:r>
    </w:p>
    <w:p w14:paraId="65E15FF6">
      <w:pPr>
        <w:spacing w:after="120" w:line="360" w:lineRule="exact"/>
        <w:rPr>
          <w:rFonts w:ascii="仿宋" w:hAnsi="仿宋" w:eastAsia="仿宋" w:cs="仿宋"/>
          <w:bCs/>
          <w:color w:val="auto"/>
          <w:sz w:val="28"/>
          <w:szCs w:val="28"/>
          <w:highlight w:val="none"/>
          <w:u w:val="single"/>
        </w:rPr>
      </w:pPr>
      <w:r>
        <w:rPr>
          <w:rFonts w:hint="eastAsia" w:ascii="仿宋" w:hAnsi="仿宋" w:eastAsia="仿宋" w:cs="仿宋"/>
          <w:bCs/>
          <w:color w:val="auto"/>
          <w:sz w:val="28"/>
          <w:szCs w:val="28"/>
          <w:highlight w:val="none"/>
        </w:rPr>
        <w:t>工程名称：</w:t>
      </w:r>
      <w:r>
        <w:rPr>
          <w:rFonts w:hint="eastAsia" w:ascii="仿宋" w:hAnsi="仿宋" w:eastAsia="仿宋" w:cs="仿宋"/>
          <w:bCs/>
          <w:color w:val="auto"/>
          <w:sz w:val="28"/>
          <w:szCs w:val="28"/>
          <w:highlight w:val="none"/>
          <w:u w:val="single"/>
        </w:rPr>
        <w:t xml:space="preserve">                   </w:t>
      </w:r>
    </w:p>
    <w:tbl>
      <w:tblPr>
        <w:tblStyle w:val="1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7"/>
        <w:gridCol w:w="4905"/>
      </w:tblGrid>
      <w:tr w14:paraId="6268A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vAlign w:val="center"/>
          </w:tcPr>
          <w:p w14:paraId="734A51A9">
            <w:pPr>
              <w:spacing w:line="360" w:lineRule="exact"/>
              <w:ind w:firstLine="560"/>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岗位或工种</w:t>
            </w:r>
          </w:p>
        </w:tc>
        <w:tc>
          <w:tcPr>
            <w:tcW w:w="2512" w:type="pct"/>
            <w:vAlign w:val="center"/>
          </w:tcPr>
          <w:p w14:paraId="5FD1B225">
            <w:pPr>
              <w:spacing w:line="360" w:lineRule="exact"/>
              <w:ind w:firstLine="560"/>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人员数量</w:t>
            </w:r>
          </w:p>
        </w:tc>
      </w:tr>
      <w:tr w14:paraId="2005D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14:paraId="016295F9">
            <w:pPr>
              <w:spacing w:line="36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如：绿化工</w:t>
            </w:r>
          </w:p>
        </w:tc>
        <w:tc>
          <w:tcPr>
            <w:tcW w:w="2512" w:type="pct"/>
            <w:vAlign w:val="center"/>
          </w:tcPr>
          <w:p w14:paraId="5E8E3DDE">
            <w:pPr>
              <w:spacing w:line="360" w:lineRule="exact"/>
              <w:jc w:val="center"/>
              <w:rPr>
                <w:rFonts w:ascii="仿宋" w:hAnsi="仿宋" w:eastAsia="仿宋" w:cs="仿宋"/>
                <w:color w:val="auto"/>
                <w:sz w:val="28"/>
                <w:szCs w:val="28"/>
                <w:highlight w:val="none"/>
              </w:rPr>
            </w:pPr>
          </w:p>
        </w:tc>
      </w:tr>
      <w:tr w14:paraId="6C53D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14:paraId="45053EA7">
            <w:pPr>
              <w:spacing w:line="36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如：泥工</w:t>
            </w:r>
          </w:p>
        </w:tc>
        <w:tc>
          <w:tcPr>
            <w:tcW w:w="2512" w:type="pct"/>
            <w:vAlign w:val="center"/>
          </w:tcPr>
          <w:p w14:paraId="1BE0D292">
            <w:pPr>
              <w:spacing w:line="360" w:lineRule="exact"/>
              <w:jc w:val="center"/>
              <w:rPr>
                <w:rFonts w:ascii="仿宋" w:hAnsi="仿宋" w:eastAsia="仿宋" w:cs="仿宋"/>
                <w:color w:val="auto"/>
                <w:sz w:val="28"/>
                <w:szCs w:val="28"/>
                <w:highlight w:val="none"/>
              </w:rPr>
            </w:pPr>
          </w:p>
        </w:tc>
      </w:tr>
      <w:tr w14:paraId="3E0FB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14:paraId="2DCDD0F0">
            <w:pPr>
              <w:spacing w:line="36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如：油漆工</w:t>
            </w:r>
          </w:p>
        </w:tc>
        <w:tc>
          <w:tcPr>
            <w:tcW w:w="2512" w:type="pct"/>
            <w:vAlign w:val="center"/>
          </w:tcPr>
          <w:p w14:paraId="31518265">
            <w:pPr>
              <w:spacing w:line="360" w:lineRule="exact"/>
              <w:jc w:val="center"/>
              <w:rPr>
                <w:rFonts w:ascii="仿宋" w:hAnsi="仿宋" w:eastAsia="仿宋" w:cs="仿宋"/>
                <w:color w:val="auto"/>
                <w:sz w:val="28"/>
                <w:szCs w:val="28"/>
                <w:highlight w:val="none"/>
              </w:rPr>
            </w:pPr>
          </w:p>
        </w:tc>
      </w:tr>
      <w:tr w14:paraId="3D9D2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14:paraId="25441CA2">
            <w:pPr>
              <w:spacing w:line="36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如：水电工</w:t>
            </w:r>
          </w:p>
        </w:tc>
        <w:tc>
          <w:tcPr>
            <w:tcW w:w="2512" w:type="pct"/>
            <w:vAlign w:val="center"/>
          </w:tcPr>
          <w:p w14:paraId="19E5B588">
            <w:pPr>
              <w:spacing w:line="360" w:lineRule="exact"/>
              <w:jc w:val="center"/>
              <w:rPr>
                <w:rFonts w:ascii="仿宋" w:hAnsi="仿宋" w:eastAsia="仿宋" w:cs="仿宋"/>
                <w:color w:val="auto"/>
                <w:sz w:val="28"/>
                <w:szCs w:val="28"/>
                <w:highlight w:val="none"/>
              </w:rPr>
            </w:pPr>
          </w:p>
        </w:tc>
      </w:tr>
      <w:tr w14:paraId="0FBFC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14:paraId="5D8D196D">
            <w:pPr>
              <w:spacing w:line="36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其他</w:t>
            </w:r>
          </w:p>
        </w:tc>
        <w:tc>
          <w:tcPr>
            <w:tcW w:w="2512" w:type="pct"/>
            <w:vAlign w:val="center"/>
          </w:tcPr>
          <w:p w14:paraId="6C391BED">
            <w:pPr>
              <w:spacing w:line="360" w:lineRule="exact"/>
              <w:jc w:val="center"/>
              <w:rPr>
                <w:rFonts w:ascii="仿宋" w:hAnsi="仿宋" w:eastAsia="仿宋" w:cs="仿宋"/>
                <w:color w:val="auto"/>
                <w:sz w:val="28"/>
                <w:szCs w:val="28"/>
                <w:highlight w:val="none"/>
              </w:rPr>
            </w:pPr>
          </w:p>
        </w:tc>
      </w:tr>
      <w:tr w14:paraId="6C1C5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14:paraId="6520571B">
            <w:pPr>
              <w:spacing w:line="36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tc>
        <w:tc>
          <w:tcPr>
            <w:tcW w:w="2512" w:type="pct"/>
            <w:vAlign w:val="center"/>
          </w:tcPr>
          <w:p w14:paraId="56D7917B">
            <w:pPr>
              <w:spacing w:line="360" w:lineRule="exact"/>
              <w:jc w:val="center"/>
              <w:rPr>
                <w:rFonts w:ascii="仿宋" w:hAnsi="仿宋" w:eastAsia="仿宋" w:cs="仿宋"/>
                <w:color w:val="auto"/>
                <w:sz w:val="28"/>
                <w:szCs w:val="28"/>
                <w:highlight w:val="none"/>
              </w:rPr>
            </w:pPr>
          </w:p>
        </w:tc>
      </w:tr>
      <w:tr w14:paraId="049B5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14:paraId="7017F317">
            <w:pPr>
              <w:spacing w:line="360" w:lineRule="exact"/>
              <w:jc w:val="center"/>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（投标单位视实际需要的人员自行配置填写）</w:t>
            </w:r>
          </w:p>
        </w:tc>
        <w:tc>
          <w:tcPr>
            <w:tcW w:w="2512" w:type="pct"/>
            <w:vAlign w:val="center"/>
          </w:tcPr>
          <w:p w14:paraId="25C34571">
            <w:pPr>
              <w:spacing w:line="360" w:lineRule="exact"/>
              <w:jc w:val="center"/>
              <w:rPr>
                <w:rFonts w:ascii="仿宋" w:hAnsi="仿宋" w:eastAsia="仿宋" w:cs="仿宋"/>
                <w:color w:val="auto"/>
                <w:sz w:val="28"/>
                <w:szCs w:val="28"/>
                <w:highlight w:val="none"/>
              </w:rPr>
            </w:pPr>
          </w:p>
        </w:tc>
      </w:tr>
      <w:tr w14:paraId="61EED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14:paraId="483DB5EE">
            <w:pPr>
              <w:spacing w:line="360" w:lineRule="exact"/>
              <w:jc w:val="center"/>
              <w:rPr>
                <w:rFonts w:ascii="仿宋" w:hAnsi="仿宋" w:eastAsia="仿宋" w:cs="仿宋"/>
                <w:color w:val="auto"/>
                <w:sz w:val="28"/>
                <w:szCs w:val="28"/>
                <w:highlight w:val="none"/>
              </w:rPr>
            </w:pPr>
          </w:p>
        </w:tc>
        <w:tc>
          <w:tcPr>
            <w:tcW w:w="2512" w:type="pct"/>
            <w:vAlign w:val="center"/>
          </w:tcPr>
          <w:p w14:paraId="4B0C65B0">
            <w:pPr>
              <w:spacing w:line="360" w:lineRule="exact"/>
              <w:jc w:val="center"/>
              <w:rPr>
                <w:rFonts w:ascii="仿宋" w:hAnsi="仿宋" w:eastAsia="仿宋" w:cs="仿宋"/>
                <w:color w:val="auto"/>
                <w:sz w:val="28"/>
                <w:szCs w:val="28"/>
                <w:highlight w:val="none"/>
              </w:rPr>
            </w:pPr>
          </w:p>
        </w:tc>
      </w:tr>
      <w:tr w14:paraId="76AE2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14:paraId="5D06181C">
            <w:pPr>
              <w:spacing w:line="360" w:lineRule="exact"/>
              <w:jc w:val="center"/>
              <w:rPr>
                <w:rFonts w:ascii="仿宋" w:hAnsi="仿宋" w:eastAsia="仿宋" w:cs="仿宋"/>
                <w:color w:val="auto"/>
                <w:sz w:val="28"/>
                <w:szCs w:val="28"/>
                <w:highlight w:val="none"/>
              </w:rPr>
            </w:pPr>
          </w:p>
        </w:tc>
        <w:tc>
          <w:tcPr>
            <w:tcW w:w="2512" w:type="pct"/>
            <w:vAlign w:val="center"/>
          </w:tcPr>
          <w:p w14:paraId="2EFB6326">
            <w:pPr>
              <w:spacing w:line="360" w:lineRule="exact"/>
              <w:jc w:val="center"/>
              <w:rPr>
                <w:rFonts w:ascii="仿宋" w:hAnsi="仿宋" w:eastAsia="仿宋" w:cs="仿宋"/>
                <w:color w:val="auto"/>
                <w:sz w:val="28"/>
                <w:szCs w:val="28"/>
                <w:highlight w:val="none"/>
              </w:rPr>
            </w:pPr>
          </w:p>
        </w:tc>
      </w:tr>
      <w:tr w14:paraId="549E9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14:paraId="446AA144">
            <w:pPr>
              <w:spacing w:line="360" w:lineRule="exact"/>
              <w:jc w:val="center"/>
              <w:rPr>
                <w:rFonts w:ascii="仿宋" w:hAnsi="仿宋" w:eastAsia="仿宋" w:cs="仿宋"/>
                <w:color w:val="auto"/>
                <w:sz w:val="28"/>
                <w:szCs w:val="28"/>
                <w:highlight w:val="none"/>
              </w:rPr>
            </w:pPr>
          </w:p>
        </w:tc>
        <w:tc>
          <w:tcPr>
            <w:tcW w:w="2512" w:type="pct"/>
            <w:vAlign w:val="center"/>
          </w:tcPr>
          <w:p w14:paraId="4D56ADC6">
            <w:pPr>
              <w:spacing w:line="360" w:lineRule="exact"/>
              <w:jc w:val="center"/>
              <w:rPr>
                <w:rFonts w:ascii="仿宋" w:hAnsi="仿宋" w:eastAsia="仿宋" w:cs="仿宋"/>
                <w:color w:val="auto"/>
                <w:sz w:val="28"/>
                <w:szCs w:val="28"/>
                <w:highlight w:val="none"/>
              </w:rPr>
            </w:pPr>
          </w:p>
        </w:tc>
      </w:tr>
      <w:tr w14:paraId="50681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vAlign w:val="center"/>
          </w:tcPr>
          <w:p w14:paraId="61DC0421">
            <w:pPr>
              <w:spacing w:line="360" w:lineRule="exact"/>
              <w:ind w:firstLine="560"/>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合计</w:t>
            </w:r>
          </w:p>
        </w:tc>
        <w:tc>
          <w:tcPr>
            <w:tcW w:w="2512" w:type="pct"/>
            <w:vAlign w:val="center"/>
          </w:tcPr>
          <w:p w14:paraId="6B7CEC48">
            <w:pPr>
              <w:spacing w:line="360" w:lineRule="exact"/>
              <w:ind w:firstLine="560"/>
              <w:jc w:val="center"/>
              <w:rPr>
                <w:rFonts w:ascii="仿宋" w:hAnsi="仿宋" w:eastAsia="仿宋" w:cs="仿宋"/>
                <w:b/>
                <w:bCs/>
                <w:color w:val="auto"/>
                <w:sz w:val="28"/>
                <w:szCs w:val="28"/>
                <w:highlight w:val="none"/>
              </w:rPr>
            </w:pPr>
          </w:p>
        </w:tc>
      </w:tr>
    </w:tbl>
    <w:p w14:paraId="7EC13C17">
      <w:pPr>
        <w:spacing w:line="360" w:lineRule="exact"/>
        <w:ind w:firstLine="560"/>
        <w:rPr>
          <w:rFonts w:ascii="仿宋" w:hAnsi="仿宋" w:eastAsia="仿宋" w:cs="仿宋"/>
          <w:color w:val="auto"/>
          <w:sz w:val="28"/>
          <w:szCs w:val="28"/>
          <w:highlight w:val="none"/>
        </w:rPr>
      </w:pPr>
      <w:r>
        <w:rPr>
          <w:rFonts w:hint="eastAsia" w:ascii="仿宋" w:hAnsi="仿宋" w:eastAsia="仿宋" w:cs="仿宋"/>
          <w:b/>
          <w:color w:val="auto"/>
          <w:sz w:val="28"/>
          <w:szCs w:val="28"/>
          <w:highlight w:val="none"/>
        </w:rPr>
        <w:t>注：本公司承诺在项目进场时确保每天的施工人数为表上的最少人数，如果少于表上总人数，本公司承诺2天内补足人数，否则视为我公司违约。</w:t>
      </w:r>
    </w:p>
    <w:p w14:paraId="14664977">
      <w:pPr>
        <w:pStyle w:val="13"/>
        <w:spacing w:line="360" w:lineRule="exact"/>
        <w:rPr>
          <w:rFonts w:ascii="仿宋" w:hAnsi="仿宋" w:eastAsia="仿宋" w:cs="仿宋"/>
          <w:color w:val="auto"/>
          <w:sz w:val="28"/>
          <w:szCs w:val="28"/>
          <w:highlight w:val="none"/>
        </w:rPr>
      </w:pPr>
    </w:p>
    <w:p w14:paraId="78A2AD9C">
      <w:pPr>
        <w:pStyle w:val="14"/>
        <w:spacing w:before="157" w:beforeLines="50" w:beforeAutospacing="0" w:after="0" w:afterAutospacing="0" w:line="360" w:lineRule="exact"/>
        <w:ind w:left="3780" w:leftChars="18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投标单位（盖章）：</w:t>
      </w:r>
    </w:p>
    <w:p w14:paraId="475EBE5B">
      <w:pPr>
        <w:pStyle w:val="14"/>
        <w:spacing w:before="157" w:beforeLines="50" w:beforeAutospacing="0" w:after="0" w:afterAutospacing="0" w:line="360" w:lineRule="exact"/>
        <w:ind w:left="3780" w:leftChars="18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法定代表人（签字或盖章）：</w:t>
      </w:r>
    </w:p>
    <w:p w14:paraId="6695EE62">
      <w:pPr>
        <w:spacing w:line="360" w:lineRule="exact"/>
        <w:jc w:val="righ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年   月   日</w:t>
      </w:r>
    </w:p>
    <w:p w14:paraId="00168653">
      <w:pPr>
        <w:pStyle w:val="2"/>
        <w:spacing w:line="360" w:lineRule="exact"/>
        <w:ind w:firstLine="280"/>
        <w:rPr>
          <w:rFonts w:ascii="仿宋" w:hAnsi="仿宋" w:eastAsia="仿宋" w:cs="仿宋"/>
          <w:color w:val="auto"/>
          <w:sz w:val="28"/>
          <w:szCs w:val="28"/>
          <w:highlight w:val="none"/>
        </w:rPr>
      </w:pPr>
    </w:p>
    <w:p w14:paraId="1CFC898E">
      <w:pPr>
        <w:pStyle w:val="13"/>
        <w:spacing w:line="360" w:lineRule="exact"/>
        <w:rPr>
          <w:rFonts w:ascii="仿宋" w:hAnsi="仿宋" w:eastAsia="仿宋" w:cs="仿宋"/>
          <w:color w:val="auto"/>
          <w:sz w:val="28"/>
          <w:szCs w:val="28"/>
          <w:highlight w:val="none"/>
        </w:rPr>
      </w:pPr>
    </w:p>
    <w:p w14:paraId="3DD4B4E2">
      <w:pPr>
        <w:spacing w:line="360" w:lineRule="exact"/>
        <w:rPr>
          <w:rFonts w:ascii="仿宋" w:hAnsi="仿宋" w:eastAsia="仿宋" w:cs="仿宋"/>
          <w:color w:val="auto"/>
          <w:sz w:val="28"/>
          <w:szCs w:val="28"/>
          <w:highlight w:val="none"/>
        </w:rPr>
      </w:pPr>
    </w:p>
    <w:p w14:paraId="190C8109">
      <w:pPr>
        <w:pStyle w:val="2"/>
        <w:rPr>
          <w:rFonts w:ascii="仿宋" w:hAnsi="仿宋" w:eastAsia="仿宋" w:cs="仿宋"/>
          <w:color w:val="auto"/>
          <w:sz w:val="28"/>
          <w:szCs w:val="28"/>
          <w:highlight w:val="none"/>
        </w:rPr>
      </w:pPr>
    </w:p>
    <w:p w14:paraId="075A57A8">
      <w:pPr>
        <w:pStyle w:val="15"/>
        <w:jc w:val="left"/>
        <w:rPr>
          <w:rFonts w:hint="default" w:eastAsia="仿宋_GB2312"/>
          <w:color w:val="auto"/>
          <w:highlight w:val="none"/>
          <w:lang w:val="en-US" w:eastAsia="zh-CN"/>
        </w:rPr>
      </w:pPr>
      <w:r>
        <w:rPr>
          <w:rFonts w:hint="eastAsia"/>
          <w:color w:val="auto"/>
          <w:highlight w:val="none"/>
          <w:lang w:val="en-US" w:eastAsia="zh-CN"/>
        </w:rPr>
        <w:t>附件1：标段划分明细表</w:t>
      </w:r>
    </w:p>
    <w:p w14:paraId="2AC2501A">
      <w:pPr>
        <w:pStyle w:val="2"/>
      </w:pPr>
    </w:p>
    <w:tbl>
      <w:tblPr>
        <w:tblStyle w:val="16"/>
        <w:tblpPr w:leftFromText="180" w:rightFromText="180" w:vertAnchor="text" w:horzAnchor="page" w:tblpX="1210" w:tblpY="439"/>
        <w:tblOverlap w:val="never"/>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3285"/>
        <w:gridCol w:w="1530"/>
        <w:gridCol w:w="1545"/>
        <w:gridCol w:w="2040"/>
      </w:tblGrid>
      <w:tr w14:paraId="000E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0" w:type="dxa"/>
            <w:vAlign w:val="center"/>
          </w:tcPr>
          <w:p w14:paraId="0AF26075">
            <w:pPr>
              <w:pStyle w:val="15"/>
              <w:rPr>
                <w:rFonts w:hint="eastAsia" w:ascii="仿宋" w:hAnsi="仿宋" w:eastAsia="仿宋" w:cs="仿宋"/>
                <w:color w:val="auto"/>
                <w:sz w:val="28"/>
                <w:szCs w:val="28"/>
                <w:highlight w:val="none"/>
                <w:u w:val="none"/>
                <w:vertAlign w:val="baseline"/>
                <w:lang w:eastAsia="zh-CN"/>
              </w:rPr>
            </w:pPr>
            <w:r>
              <w:rPr>
                <w:rFonts w:hint="eastAsia" w:ascii="仿宋" w:hAnsi="仿宋" w:eastAsia="仿宋" w:cs="仿宋"/>
                <w:color w:val="auto"/>
                <w:sz w:val="28"/>
                <w:szCs w:val="28"/>
                <w:highlight w:val="none"/>
                <w:u w:val="none"/>
                <w:vertAlign w:val="baseline"/>
                <w:lang w:eastAsia="zh-CN"/>
              </w:rPr>
              <w:t>标段</w:t>
            </w:r>
          </w:p>
        </w:tc>
        <w:tc>
          <w:tcPr>
            <w:tcW w:w="3285" w:type="dxa"/>
            <w:vAlign w:val="center"/>
          </w:tcPr>
          <w:p w14:paraId="29F9C0CE">
            <w:pPr>
              <w:pStyle w:val="15"/>
              <w:rPr>
                <w:rFonts w:hint="eastAsia" w:ascii="仿宋" w:hAnsi="仿宋" w:eastAsia="仿宋" w:cs="仿宋"/>
                <w:color w:val="auto"/>
                <w:sz w:val="28"/>
                <w:szCs w:val="28"/>
                <w:highlight w:val="none"/>
                <w:u w:val="none"/>
                <w:vertAlign w:val="baseline"/>
                <w:lang w:eastAsia="zh-CN"/>
              </w:rPr>
            </w:pPr>
            <w:r>
              <w:rPr>
                <w:rFonts w:hint="eastAsia" w:ascii="仿宋" w:hAnsi="仿宋" w:eastAsia="仿宋" w:cs="仿宋"/>
                <w:color w:val="auto"/>
                <w:sz w:val="28"/>
                <w:szCs w:val="28"/>
                <w:highlight w:val="none"/>
                <w:u w:val="none"/>
                <w:vertAlign w:val="baseline"/>
                <w:lang w:eastAsia="zh-CN"/>
              </w:rPr>
              <w:t>地址</w:t>
            </w:r>
          </w:p>
        </w:tc>
        <w:tc>
          <w:tcPr>
            <w:tcW w:w="1530" w:type="dxa"/>
            <w:vAlign w:val="center"/>
          </w:tcPr>
          <w:p w14:paraId="11CD7BAB">
            <w:pPr>
              <w:pStyle w:val="15"/>
              <w:rPr>
                <w:rFonts w:hint="eastAsia" w:ascii="仿宋" w:hAnsi="仿宋" w:eastAsia="仿宋" w:cs="仿宋"/>
                <w:color w:val="auto"/>
                <w:sz w:val="28"/>
                <w:szCs w:val="28"/>
                <w:highlight w:val="none"/>
                <w:u w:val="none"/>
                <w:vertAlign w:val="baseline"/>
                <w:lang w:eastAsia="zh-CN"/>
              </w:rPr>
            </w:pPr>
            <w:r>
              <w:rPr>
                <w:rFonts w:hint="eastAsia" w:ascii="仿宋" w:hAnsi="仿宋" w:eastAsia="仿宋" w:cs="仿宋"/>
                <w:color w:val="auto"/>
                <w:sz w:val="28"/>
                <w:szCs w:val="28"/>
                <w:highlight w:val="none"/>
                <w:u w:val="none"/>
                <w:vertAlign w:val="baseline"/>
                <w:lang w:eastAsia="zh-CN"/>
              </w:rPr>
              <w:t>地界</w:t>
            </w:r>
          </w:p>
        </w:tc>
        <w:tc>
          <w:tcPr>
            <w:tcW w:w="1545" w:type="dxa"/>
            <w:vAlign w:val="center"/>
          </w:tcPr>
          <w:p w14:paraId="2A6CA326">
            <w:pPr>
              <w:pStyle w:val="15"/>
              <w:rPr>
                <w:rFonts w:hint="eastAsia" w:ascii="仿宋" w:hAnsi="仿宋" w:eastAsia="仿宋" w:cs="仿宋"/>
                <w:color w:val="auto"/>
                <w:sz w:val="28"/>
                <w:szCs w:val="28"/>
                <w:highlight w:val="none"/>
                <w:u w:val="none"/>
                <w:vertAlign w:val="baseline"/>
                <w:lang w:eastAsia="zh-CN"/>
              </w:rPr>
            </w:pPr>
            <w:r>
              <w:rPr>
                <w:rFonts w:hint="eastAsia" w:ascii="仿宋" w:hAnsi="仿宋" w:eastAsia="仿宋" w:cs="仿宋"/>
                <w:color w:val="auto"/>
                <w:sz w:val="28"/>
                <w:szCs w:val="28"/>
                <w:highlight w:val="none"/>
                <w:u w:val="none"/>
                <w:vertAlign w:val="baseline"/>
                <w:lang w:eastAsia="zh-CN"/>
              </w:rPr>
              <w:t>面积（㎡）</w:t>
            </w:r>
          </w:p>
        </w:tc>
        <w:tc>
          <w:tcPr>
            <w:tcW w:w="2040" w:type="dxa"/>
            <w:vAlign w:val="center"/>
          </w:tcPr>
          <w:p w14:paraId="377E323B">
            <w:pPr>
              <w:pStyle w:val="15"/>
              <w:rPr>
                <w:rFonts w:hint="eastAsia" w:ascii="仿宋" w:hAnsi="仿宋" w:eastAsia="仿宋" w:cs="仿宋"/>
                <w:color w:val="auto"/>
                <w:sz w:val="28"/>
                <w:szCs w:val="28"/>
                <w:highlight w:val="none"/>
                <w:u w:val="none"/>
                <w:vertAlign w:val="baseline"/>
                <w:lang w:eastAsia="zh-CN"/>
              </w:rPr>
            </w:pPr>
            <w:r>
              <w:rPr>
                <w:rFonts w:hint="eastAsia" w:ascii="仿宋" w:hAnsi="仿宋" w:eastAsia="仿宋" w:cs="仿宋"/>
                <w:color w:val="auto"/>
                <w:sz w:val="28"/>
                <w:szCs w:val="28"/>
                <w:highlight w:val="none"/>
                <w:u w:val="none"/>
                <w:vertAlign w:val="baseline"/>
                <w:lang w:eastAsia="zh-CN"/>
              </w:rPr>
              <w:t>面积小计（㎡）</w:t>
            </w:r>
          </w:p>
        </w:tc>
      </w:tr>
      <w:tr w14:paraId="39EE6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0" w:type="dxa"/>
            <w:vMerge w:val="restart"/>
            <w:vAlign w:val="center"/>
          </w:tcPr>
          <w:p w14:paraId="77EC6785">
            <w:pPr>
              <w:pStyle w:val="15"/>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一标段</w:t>
            </w:r>
          </w:p>
        </w:tc>
        <w:tc>
          <w:tcPr>
            <w:tcW w:w="3285" w:type="dxa"/>
            <w:vAlign w:val="center"/>
          </w:tcPr>
          <w:p w14:paraId="6AD54147">
            <w:pPr>
              <w:pStyle w:val="15"/>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翁家漾</w:t>
            </w:r>
          </w:p>
        </w:tc>
        <w:tc>
          <w:tcPr>
            <w:tcW w:w="1530" w:type="dxa"/>
            <w:vMerge w:val="restart"/>
            <w:vAlign w:val="center"/>
          </w:tcPr>
          <w:p w14:paraId="54F81D67">
            <w:pPr>
              <w:pStyle w:val="15"/>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双林</w:t>
            </w:r>
          </w:p>
        </w:tc>
        <w:tc>
          <w:tcPr>
            <w:tcW w:w="1545" w:type="dxa"/>
            <w:vAlign w:val="center"/>
          </w:tcPr>
          <w:p w14:paraId="0730667A">
            <w:pPr>
              <w:pStyle w:val="15"/>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17971.0</w:t>
            </w:r>
          </w:p>
        </w:tc>
        <w:tc>
          <w:tcPr>
            <w:tcW w:w="2040" w:type="dxa"/>
            <w:vMerge w:val="restart"/>
            <w:vAlign w:val="center"/>
          </w:tcPr>
          <w:p w14:paraId="3E1C4C53">
            <w:pPr>
              <w:pStyle w:val="15"/>
              <w:jc w:val="center"/>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78647.00</w:t>
            </w:r>
          </w:p>
        </w:tc>
      </w:tr>
      <w:tr w14:paraId="3AC7A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0" w:type="dxa"/>
            <w:vMerge w:val="continue"/>
            <w:vAlign w:val="center"/>
          </w:tcPr>
          <w:p w14:paraId="24CD608E">
            <w:pPr>
              <w:pStyle w:val="15"/>
              <w:rPr>
                <w:rFonts w:hint="eastAsia" w:ascii="仿宋" w:hAnsi="仿宋" w:eastAsia="仿宋" w:cs="仿宋"/>
                <w:color w:val="auto"/>
                <w:sz w:val="28"/>
                <w:szCs w:val="28"/>
                <w:highlight w:val="none"/>
                <w:u w:val="none"/>
                <w:vertAlign w:val="baseline"/>
                <w:lang w:val="en-US" w:eastAsia="zh-CN"/>
              </w:rPr>
            </w:pPr>
          </w:p>
        </w:tc>
        <w:tc>
          <w:tcPr>
            <w:tcW w:w="3285" w:type="dxa"/>
            <w:vAlign w:val="center"/>
          </w:tcPr>
          <w:p w14:paraId="463F7AE1">
            <w:pPr>
              <w:pStyle w:val="15"/>
              <w:rPr>
                <w:rFonts w:hint="eastAsia" w:ascii="仿宋" w:hAnsi="仿宋" w:eastAsia="仿宋" w:cs="仿宋"/>
                <w:color w:val="auto"/>
                <w:sz w:val="28"/>
                <w:szCs w:val="28"/>
                <w:highlight w:val="none"/>
                <w:u w:val="none"/>
                <w:vertAlign w:val="baseline"/>
                <w:lang w:eastAsia="zh-CN"/>
              </w:rPr>
            </w:pPr>
            <w:r>
              <w:rPr>
                <w:rFonts w:hint="eastAsia" w:ascii="仿宋" w:hAnsi="仿宋" w:eastAsia="仿宋" w:cs="仿宋"/>
                <w:color w:val="auto"/>
                <w:sz w:val="28"/>
                <w:szCs w:val="28"/>
                <w:highlight w:val="none"/>
                <w:u w:val="none"/>
                <w:vertAlign w:val="baseline"/>
                <w:lang w:val="en-US" w:eastAsia="zh-CN"/>
              </w:rPr>
              <w:t>白潭漾</w:t>
            </w:r>
          </w:p>
        </w:tc>
        <w:tc>
          <w:tcPr>
            <w:tcW w:w="1530" w:type="dxa"/>
            <w:vMerge w:val="continue"/>
            <w:vAlign w:val="center"/>
          </w:tcPr>
          <w:p w14:paraId="76726779">
            <w:pPr>
              <w:pStyle w:val="15"/>
              <w:rPr>
                <w:rFonts w:hint="eastAsia" w:ascii="仿宋" w:hAnsi="仿宋" w:eastAsia="仿宋" w:cs="仿宋"/>
                <w:color w:val="auto"/>
                <w:sz w:val="28"/>
                <w:szCs w:val="28"/>
                <w:highlight w:val="none"/>
                <w:u w:val="none"/>
                <w:vertAlign w:val="baseline"/>
                <w:lang w:eastAsia="zh-CN"/>
              </w:rPr>
            </w:pPr>
          </w:p>
        </w:tc>
        <w:tc>
          <w:tcPr>
            <w:tcW w:w="1545" w:type="dxa"/>
            <w:vAlign w:val="center"/>
          </w:tcPr>
          <w:p w14:paraId="0119DDEA">
            <w:pPr>
              <w:pStyle w:val="15"/>
              <w:rPr>
                <w:rFonts w:hint="eastAsia" w:ascii="仿宋" w:hAnsi="仿宋" w:eastAsia="仿宋" w:cs="仿宋"/>
                <w:color w:val="auto"/>
                <w:sz w:val="28"/>
                <w:szCs w:val="28"/>
                <w:highlight w:val="none"/>
                <w:u w:val="none"/>
                <w:vertAlign w:val="baseline"/>
                <w:lang w:eastAsia="zh-CN"/>
              </w:rPr>
            </w:pPr>
            <w:r>
              <w:rPr>
                <w:rFonts w:hint="eastAsia" w:ascii="仿宋" w:hAnsi="仿宋" w:eastAsia="仿宋" w:cs="仿宋"/>
                <w:color w:val="auto"/>
                <w:sz w:val="28"/>
                <w:szCs w:val="28"/>
                <w:highlight w:val="none"/>
                <w:u w:val="none"/>
                <w:vertAlign w:val="baseline"/>
                <w:lang w:val="en-US" w:eastAsia="zh-CN"/>
              </w:rPr>
              <w:t>34546.0</w:t>
            </w:r>
          </w:p>
        </w:tc>
        <w:tc>
          <w:tcPr>
            <w:tcW w:w="2040" w:type="dxa"/>
            <w:vMerge w:val="continue"/>
            <w:vAlign w:val="center"/>
          </w:tcPr>
          <w:p w14:paraId="4AAA7779">
            <w:pPr>
              <w:pStyle w:val="15"/>
              <w:rPr>
                <w:rFonts w:hint="eastAsia" w:ascii="仿宋" w:hAnsi="仿宋" w:eastAsia="仿宋" w:cs="仿宋"/>
                <w:color w:val="auto"/>
                <w:sz w:val="28"/>
                <w:szCs w:val="28"/>
                <w:highlight w:val="none"/>
                <w:u w:val="none"/>
                <w:vertAlign w:val="baseline"/>
                <w:lang w:eastAsia="zh-CN"/>
              </w:rPr>
            </w:pPr>
          </w:p>
        </w:tc>
      </w:tr>
      <w:tr w14:paraId="4107B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0" w:type="dxa"/>
            <w:vMerge w:val="continue"/>
            <w:vAlign w:val="center"/>
          </w:tcPr>
          <w:p w14:paraId="40F83C64">
            <w:pPr>
              <w:pStyle w:val="15"/>
              <w:rPr>
                <w:rFonts w:hint="eastAsia" w:ascii="仿宋" w:hAnsi="仿宋" w:eastAsia="仿宋" w:cs="仿宋"/>
                <w:color w:val="auto"/>
                <w:sz w:val="28"/>
                <w:szCs w:val="28"/>
                <w:highlight w:val="none"/>
                <w:u w:val="none"/>
                <w:vertAlign w:val="baseline"/>
                <w:lang w:val="en-US" w:eastAsia="zh-CN"/>
              </w:rPr>
            </w:pPr>
          </w:p>
        </w:tc>
        <w:tc>
          <w:tcPr>
            <w:tcW w:w="3285" w:type="dxa"/>
            <w:vAlign w:val="center"/>
          </w:tcPr>
          <w:p w14:paraId="1F42FAAC">
            <w:pPr>
              <w:pStyle w:val="15"/>
              <w:rPr>
                <w:rFonts w:hint="eastAsia" w:ascii="仿宋" w:hAnsi="仿宋" w:eastAsia="仿宋" w:cs="仿宋"/>
                <w:color w:val="auto"/>
                <w:sz w:val="28"/>
                <w:szCs w:val="28"/>
                <w:highlight w:val="none"/>
                <w:u w:val="none"/>
                <w:vertAlign w:val="baseline"/>
                <w:lang w:eastAsia="zh-CN"/>
              </w:rPr>
            </w:pPr>
            <w:r>
              <w:rPr>
                <w:rFonts w:hint="eastAsia" w:ascii="仿宋" w:hAnsi="仿宋" w:eastAsia="仿宋" w:cs="仿宋"/>
                <w:color w:val="auto"/>
                <w:sz w:val="28"/>
                <w:szCs w:val="28"/>
                <w:highlight w:val="none"/>
                <w:u w:val="none"/>
                <w:vertAlign w:val="baseline"/>
                <w:lang w:val="en-US" w:eastAsia="zh-CN"/>
              </w:rPr>
              <w:t>俞家漾</w:t>
            </w:r>
          </w:p>
        </w:tc>
        <w:tc>
          <w:tcPr>
            <w:tcW w:w="1530" w:type="dxa"/>
            <w:vMerge w:val="continue"/>
            <w:vAlign w:val="center"/>
          </w:tcPr>
          <w:p w14:paraId="6BC85A5B">
            <w:pPr>
              <w:pStyle w:val="15"/>
              <w:rPr>
                <w:rFonts w:hint="eastAsia" w:ascii="仿宋" w:hAnsi="仿宋" w:eastAsia="仿宋" w:cs="仿宋"/>
                <w:color w:val="auto"/>
                <w:sz w:val="28"/>
                <w:szCs w:val="28"/>
                <w:highlight w:val="none"/>
                <w:u w:val="none"/>
                <w:vertAlign w:val="baseline"/>
                <w:lang w:eastAsia="zh-CN"/>
              </w:rPr>
            </w:pPr>
          </w:p>
        </w:tc>
        <w:tc>
          <w:tcPr>
            <w:tcW w:w="1545" w:type="dxa"/>
            <w:vAlign w:val="center"/>
          </w:tcPr>
          <w:p w14:paraId="7DD467DE">
            <w:pPr>
              <w:pStyle w:val="15"/>
              <w:rPr>
                <w:rFonts w:hint="eastAsia" w:ascii="仿宋" w:hAnsi="仿宋" w:eastAsia="仿宋" w:cs="仿宋"/>
                <w:color w:val="auto"/>
                <w:sz w:val="28"/>
                <w:szCs w:val="28"/>
                <w:highlight w:val="none"/>
                <w:u w:val="none"/>
                <w:vertAlign w:val="baseline"/>
                <w:lang w:eastAsia="zh-CN"/>
              </w:rPr>
            </w:pPr>
            <w:r>
              <w:rPr>
                <w:rFonts w:hint="eastAsia" w:ascii="仿宋" w:hAnsi="仿宋" w:eastAsia="仿宋" w:cs="仿宋"/>
                <w:color w:val="auto"/>
                <w:sz w:val="28"/>
                <w:szCs w:val="28"/>
                <w:highlight w:val="none"/>
                <w:u w:val="none"/>
                <w:vertAlign w:val="baseline"/>
                <w:lang w:val="en-US" w:eastAsia="zh-CN"/>
              </w:rPr>
              <w:t>26130.0</w:t>
            </w:r>
          </w:p>
        </w:tc>
        <w:tc>
          <w:tcPr>
            <w:tcW w:w="2040" w:type="dxa"/>
            <w:vMerge w:val="continue"/>
            <w:vAlign w:val="center"/>
          </w:tcPr>
          <w:p w14:paraId="1F21B0C7">
            <w:pPr>
              <w:pStyle w:val="15"/>
              <w:rPr>
                <w:rFonts w:hint="eastAsia" w:ascii="仿宋" w:hAnsi="仿宋" w:eastAsia="仿宋" w:cs="仿宋"/>
                <w:color w:val="auto"/>
                <w:sz w:val="28"/>
                <w:szCs w:val="28"/>
                <w:highlight w:val="none"/>
                <w:u w:val="none"/>
                <w:vertAlign w:val="baseline"/>
                <w:lang w:eastAsia="zh-CN"/>
              </w:rPr>
            </w:pPr>
          </w:p>
        </w:tc>
      </w:tr>
      <w:tr w14:paraId="51E69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0" w:type="dxa"/>
            <w:vMerge w:val="restart"/>
            <w:vAlign w:val="center"/>
          </w:tcPr>
          <w:p w14:paraId="04DE05AB">
            <w:pPr>
              <w:pStyle w:val="15"/>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二标段</w:t>
            </w:r>
          </w:p>
        </w:tc>
        <w:tc>
          <w:tcPr>
            <w:tcW w:w="3285" w:type="dxa"/>
            <w:vAlign w:val="center"/>
          </w:tcPr>
          <w:p w14:paraId="636ADF81">
            <w:pPr>
              <w:pStyle w:val="15"/>
              <w:rPr>
                <w:rFonts w:hint="eastAsia" w:ascii="仿宋" w:hAnsi="仿宋" w:eastAsia="仿宋" w:cs="仿宋"/>
                <w:color w:val="auto"/>
                <w:sz w:val="28"/>
                <w:szCs w:val="28"/>
                <w:highlight w:val="none"/>
                <w:u w:val="none"/>
                <w:vertAlign w:val="baseline"/>
                <w:lang w:eastAsia="zh-CN"/>
              </w:rPr>
            </w:pPr>
            <w:r>
              <w:rPr>
                <w:rFonts w:hint="eastAsia" w:ascii="仿宋" w:hAnsi="仿宋" w:eastAsia="仿宋" w:cs="仿宋"/>
                <w:color w:val="auto"/>
                <w:sz w:val="28"/>
                <w:szCs w:val="28"/>
                <w:highlight w:val="none"/>
                <w:u w:val="none"/>
                <w:vertAlign w:val="baseline"/>
                <w:lang w:val="en-US" w:eastAsia="zh-CN"/>
              </w:rPr>
              <w:t>西白漾</w:t>
            </w:r>
          </w:p>
        </w:tc>
        <w:tc>
          <w:tcPr>
            <w:tcW w:w="1530" w:type="dxa"/>
            <w:shd w:val="clear" w:color="auto" w:fill="auto"/>
            <w:vAlign w:val="center"/>
          </w:tcPr>
          <w:p w14:paraId="0501F993">
            <w:pPr>
              <w:pStyle w:val="15"/>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南浔</w:t>
            </w:r>
          </w:p>
        </w:tc>
        <w:tc>
          <w:tcPr>
            <w:tcW w:w="1545" w:type="dxa"/>
            <w:vAlign w:val="center"/>
          </w:tcPr>
          <w:p w14:paraId="7EC565BC">
            <w:pPr>
              <w:pStyle w:val="15"/>
              <w:rPr>
                <w:rFonts w:hint="eastAsia" w:ascii="仿宋" w:hAnsi="仿宋" w:eastAsia="仿宋" w:cs="仿宋"/>
                <w:color w:val="auto"/>
                <w:sz w:val="28"/>
                <w:szCs w:val="28"/>
                <w:highlight w:val="none"/>
                <w:u w:val="none"/>
                <w:vertAlign w:val="baseline"/>
                <w:lang w:eastAsia="zh-CN"/>
              </w:rPr>
            </w:pPr>
            <w:r>
              <w:rPr>
                <w:rFonts w:hint="eastAsia" w:ascii="仿宋" w:hAnsi="仿宋" w:eastAsia="仿宋" w:cs="仿宋"/>
                <w:color w:val="auto"/>
                <w:sz w:val="28"/>
                <w:szCs w:val="28"/>
                <w:highlight w:val="none"/>
                <w:u w:val="none"/>
                <w:vertAlign w:val="baseline"/>
                <w:lang w:val="en-US" w:eastAsia="zh-CN"/>
              </w:rPr>
              <w:t>65130.5</w:t>
            </w:r>
          </w:p>
        </w:tc>
        <w:tc>
          <w:tcPr>
            <w:tcW w:w="2040" w:type="dxa"/>
            <w:vMerge w:val="restart"/>
            <w:vAlign w:val="center"/>
          </w:tcPr>
          <w:p w14:paraId="429C7854">
            <w:pPr>
              <w:pStyle w:val="15"/>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595593.19</w:t>
            </w:r>
          </w:p>
        </w:tc>
      </w:tr>
      <w:tr w14:paraId="5BA21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0" w:type="dxa"/>
            <w:vMerge w:val="continue"/>
            <w:vAlign w:val="center"/>
          </w:tcPr>
          <w:p w14:paraId="7EBA697F">
            <w:pPr>
              <w:pStyle w:val="15"/>
              <w:rPr>
                <w:rFonts w:hint="eastAsia" w:ascii="仿宋" w:hAnsi="仿宋" w:eastAsia="仿宋" w:cs="仿宋"/>
                <w:color w:val="auto"/>
                <w:sz w:val="28"/>
                <w:szCs w:val="28"/>
                <w:highlight w:val="none"/>
                <w:u w:val="none"/>
                <w:vertAlign w:val="baseline"/>
                <w:lang w:val="en-US" w:eastAsia="zh-CN"/>
              </w:rPr>
            </w:pPr>
          </w:p>
        </w:tc>
        <w:tc>
          <w:tcPr>
            <w:tcW w:w="3285" w:type="dxa"/>
            <w:vAlign w:val="center"/>
          </w:tcPr>
          <w:p w14:paraId="0F714EC2">
            <w:pPr>
              <w:pStyle w:val="15"/>
              <w:rPr>
                <w:rFonts w:hint="eastAsia" w:ascii="仿宋" w:hAnsi="仿宋" w:eastAsia="仿宋" w:cs="仿宋"/>
                <w:color w:val="auto"/>
                <w:sz w:val="28"/>
                <w:szCs w:val="28"/>
                <w:highlight w:val="none"/>
                <w:u w:val="none"/>
                <w:vertAlign w:val="baseline"/>
                <w:lang w:eastAsia="zh-CN"/>
              </w:rPr>
            </w:pPr>
            <w:r>
              <w:rPr>
                <w:rFonts w:hint="eastAsia" w:ascii="仿宋" w:hAnsi="仿宋" w:eastAsia="仿宋" w:cs="仿宋"/>
                <w:color w:val="auto"/>
                <w:sz w:val="28"/>
                <w:szCs w:val="28"/>
                <w:highlight w:val="none"/>
                <w:u w:val="none"/>
                <w:vertAlign w:val="baseline"/>
                <w:lang w:val="en-US" w:eastAsia="zh-CN"/>
              </w:rPr>
              <w:t>金家漾</w:t>
            </w:r>
          </w:p>
        </w:tc>
        <w:tc>
          <w:tcPr>
            <w:tcW w:w="1530" w:type="dxa"/>
            <w:shd w:val="clear" w:color="auto" w:fill="auto"/>
            <w:vAlign w:val="center"/>
          </w:tcPr>
          <w:p w14:paraId="5399ED72">
            <w:pPr>
              <w:pStyle w:val="15"/>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开发区</w:t>
            </w:r>
          </w:p>
        </w:tc>
        <w:tc>
          <w:tcPr>
            <w:tcW w:w="1545" w:type="dxa"/>
            <w:vAlign w:val="center"/>
          </w:tcPr>
          <w:p w14:paraId="13F39DFB">
            <w:pPr>
              <w:pStyle w:val="15"/>
              <w:rPr>
                <w:rFonts w:hint="eastAsia" w:ascii="仿宋" w:hAnsi="仿宋" w:eastAsia="仿宋" w:cs="仿宋"/>
                <w:color w:val="auto"/>
                <w:sz w:val="28"/>
                <w:szCs w:val="28"/>
                <w:highlight w:val="none"/>
                <w:u w:val="none"/>
                <w:vertAlign w:val="baseline"/>
                <w:lang w:eastAsia="zh-CN"/>
              </w:rPr>
            </w:pPr>
            <w:r>
              <w:rPr>
                <w:rFonts w:hint="eastAsia" w:ascii="仿宋" w:hAnsi="仿宋" w:eastAsia="仿宋" w:cs="仿宋"/>
                <w:color w:val="auto"/>
                <w:sz w:val="28"/>
                <w:szCs w:val="28"/>
                <w:highlight w:val="none"/>
                <w:u w:val="none"/>
                <w:vertAlign w:val="baseline"/>
                <w:lang w:val="en-US" w:eastAsia="zh-CN"/>
              </w:rPr>
              <w:t>122329.0</w:t>
            </w:r>
          </w:p>
        </w:tc>
        <w:tc>
          <w:tcPr>
            <w:tcW w:w="2040" w:type="dxa"/>
            <w:vMerge w:val="continue"/>
            <w:vAlign w:val="center"/>
          </w:tcPr>
          <w:p w14:paraId="5B091C20">
            <w:pPr>
              <w:pStyle w:val="15"/>
              <w:rPr>
                <w:rFonts w:hint="eastAsia" w:ascii="仿宋" w:hAnsi="仿宋" w:eastAsia="仿宋" w:cs="仿宋"/>
                <w:color w:val="auto"/>
                <w:sz w:val="28"/>
                <w:szCs w:val="28"/>
                <w:highlight w:val="none"/>
                <w:u w:val="none"/>
                <w:vertAlign w:val="baseline"/>
                <w:lang w:eastAsia="zh-CN"/>
              </w:rPr>
            </w:pPr>
          </w:p>
        </w:tc>
      </w:tr>
      <w:tr w14:paraId="3CF3D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410" w:type="dxa"/>
            <w:vMerge w:val="continue"/>
            <w:vAlign w:val="center"/>
          </w:tcPr>
          <w:p w14:paraId="37BC7E87">
            <w:pPr>
              <w:pStyle w:val="15"/>
              <w:rPr>
                <w:rFonts w:hint="eastAsia" w:ascii="仿宋" w:hAnsi="仿宋" w:eastAsia="仿宋" w:cs="仿宋"/>
                <w:color w:val="auto"/>
                <w:sz w:val="28"/>
                <w:szCs w:val="28"/>
                <w:highlight w:val="none"/>
                <w:u w:val="none"/>
                <w:vertAlign w:val="baseline"/>
                <w:lang w:val="en-US" w:eastAsia="zh-CN"/>
              </w:rPr>
            </w:pPr>
          </w:p>
        </w:tc>
        <w:tc>
          <w:tcPr>
            <w:tcW w:w="3285" w:type="dxa"/>
            <w:vAlign w:val="center"/>
          </w:tcPr>
          <w:p w14:paraId="498420BA">
            <w:pPr>
              <w:pStyle w:val="15"/>
              <w:rPr>
                <w:rFonts w:hint="eastAsia" w:ascii="仿宋" w:hAnsi="仿宋" w:eastAsia="仿宋" w:cs="仿宋"/>
                <w:color w:val="auto"/>
                <w:sz w:val="28"/>
                <w:szCs w:val="28"/>
                <w:highlight w:val="none"/>
                <w:u w:val="none"/>
                <w:vertAlign w:val="baseline"/>
                <w:lang w:eastAsia="zh-CN"/>
              </w:rPr>
            </w:pPr>
            <w:r>
              <w:rPr>
                <w:rFonts w:hint="eastAsia" w:ascii="仿宋" w:hAnsi="仿宋" w:eastAsia="仿宋" w:cs="仿宋"/>
                <w:color w:val="auto"/>
                <w:sz w:val="28"/>
                <w:szCs w:val="28"/>
                <w:highlight w:val="none"/>
                <w:u w:val="none"/>
                <w:vertAlign w:val="baseline"/>
                <w:lang w:val="en-US" w:eastAsia="zh-CN"/>
              </w:rPr>
              <w:t>丁泾塘-湖浔大道南</w:t>
            </w:r>
          </w:p>
        </w:tc>
        <w:tc>
          <w:tcPr>
            <w:tcW w:w="1530" w:type="dxa"/>
            <w:vAlign w:val="center"/>
          </w:tcPr>
          <w:p w14:paraId="1B3F205F">
            <w:pPr>
              <w:pStyle w:val="15"/>
              <w:rPr>
                <w:rFonts w:hint="eastAsia" w:ascii="仿宋" w:hAnsi="仿宋" w:eastAsia="仿宋" w:cs="仿宋"/>
                <w:color w:val="auto"/>
                <w:sz w:val="28"/>
                <w:szCs w:val="28"/>
                <w:highlight w:val="none"/>
                <w:u w:val="none"/>
                <w:vertAlign w:val="baseline"/>
                <w:lang w:eastAsia="zh-CN"/>
              </w:rPr>
            </w:pPr>
            <w:r>
              <w:rPr>
                <w:rFonts w:hint="eastAsia" w:ascii="仿宋" w:hAnsi="仿宋" w:eastAsia="仿宋" w:cs="仿宋"/>
                <w:color w:val="auto"/>
                <w:sz w:val="28"/>
                <w:szCs w:val="28"/>
                <w:highlight w:val="none"/>
                <w:u w:val="none"/>
                <w:vertAlign w:val="baseline"/>
                <w:lang w:val="en-US" w:eastAsia="zh-CN"/>
              </w:rPr>
              <w:t>开发区</w:t>
            </w:r>
          </w:p>
        </w:tc>
        <w:tc>
          <w:tcPr>
            <w:tcW w:w="1545" w:type="dxa"/>
            <w:vAlign w:val="center"/>
          </w:tcPr>
          <w:p w14:paraId="6045670C">
            <w:pPr>
              <w:pStyle w:val="15"/>
              <w:rPr>
                <w:rFonts w:hint="eastAsia" w:ascii="仿宋" w:hAnsi="仿宋" w:eastAsia="仿宋" w:cs="仿宋"/>
                <w:color w:val="auto"/>
                <w:sz w:val="28"/>
                <w:szCs w:val="28"/>
                <w:highlight w:val="none"/>
                <w:u w:val="none"/>
                <w:vertAlign w:val="baseline"/>
                <w:lang w:eastAsia="zh-CN"/>
              </w:rPr>
            </w:pPr>
            <w:r>
              <w:rPr>
                <w:rFonts w:hint="eastAsia" w:ascii="仿宋" w:hAnsi="仿宋" w:eastAsia="仿宋" w:cs="仿宋"/>
                <w:color w:val="auto"/>
                <w:sz w:val="28"/>
                <w:szCs w:val="28"/>
                <w:highlight w:val="none"/>
                <w:u w:val="none"/>
                <w:vertAlign w:val="baseline"/>
                <w:lang w:val="en-US" w:eastAsia="zh-CN"/>
              </w:rPr>
              <w:t>208177.2</w:t>
            </w:r>
          </w:p>
        </w:tc>
        <w:tc>
          <w:tcPr>
            <w:tcW w:w="2040" w:type="dxa"/>
            <w:vMerge w:val="continue"/>
            <w:vAlign w:val="center"/>
          </w:tcPr>
          <w:p w14:paraId="6E224E40">
            <w:pPr>
              <w:pStyle w:val="15"/>
              <w:rPr>
                <w:rFonts w:hint="eastAsia" w:ascii="仿宋" w:hAnsi="仿宋" w:eastAsia="仿宋" w:cs="仿宋"/>
                <w:color w:val="auto"/>
                <w:sz w:val="28"/>
                <w:szCs w:val="28"/>
                <w:highlight w:val="none"/>
                <w:u w:val="none"/>
                <w:vertAlign w:val="baseline"/>
                <w:lang w:eastAsia="zh-CN"/>
              </w:rPr>
            </w:pPr>
          </w:p>
        </w:tc>
      </w:tr>
      <w:tr w14:paraId="08943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410" w:type="dxa"/>
            <w:vMerge w:val="continue"/>
            <w:vAlign w:val="center"/>
          </w:tcPr>
          <w:p w14:paraId="1E9122BC">
            <w:pPr>
              <w:pStyle w:val="15"/>
              <w:rPr>
                <w:rFonts w:hint="eastAsia" w:ascii="仿宋" w:hAnsi="仿宋" w:eastAsia="仿宋" w:cs="仿宋"/>
                <w:color w:val="auto"/>
                <w:sz w:val="28"/>
                <w:szCs w:val="28"/>
                <w:highlight w:val="none"/>
                <w:u w:val="none"/>
                <w:vertAlign w:val="baseline"/>
                <w:lang w:val="en-US" w:eastAsia="zh-CN"/>
              </w:rPr>
            </w:pPr>
          </w:p>
        </w:tc>
        <w:tc>
          <w:tcPr>
            <w:tcW w:w="3285" w:type="dxa"/>
            <w:vAlign w:val="center"/>
          </w:tcPr>
          <w:p w14:paraId="53A328A7">
            <w:pPr>
              <w:pStyle w:val="15"/>
              <w:rPr>
                <w:rFonts w:hint="eastAsia" w:ascii="仿宋" w:hAnsi="仿宋" w:eastAsia="仿宋" w:cs="仿宋"/>
                <w:color w:val="auto"/>
                <w:sz w:val="28"/>
                <w:szCs w:val="28"/>
                <w:highlight w:val="none"/>
                <w:u w:val="none"/>
                <w:vertAlign w:val="baseline"/>
                <w:lang w:eastAsia="zh-CN"/>
              </w:rPr>
            </w:pPr>
            <w:r>
              <w:rPr>
                <w:rFonts w:hint="eastAsia" w:ascii="仿宋" w:hAnsi="仿宋" w:eastAsia="仿宋" w:cs="仿宋"/>
                <w:color w:val="auto"/>
                <w:sz w:val="28"/>
                <w:szCs w:val="28"/>
                <w:highlight w:val="none"/>
                <w:u w:val="none"/>
                <w:vertAlign w:val="baseline"/>
                <w:lang w:val="en-US" w:eastAsia="zh-CN"/>
              </w:rPr>
              <w:t>东宗线南浔-湖浔大道南</w:t>
            </w:r>
          </w:p>
        </w:tc>
        <w:tc>
          <w:tcPr>
            <w:tcW w:w="1530" w:type="dxa"/>
            <w:vAlign w:val="center"/>
          </w:tcPr>
          <w:p w14:paraId="1A015607">
            <w:pPr>
              <w:pStyle w:val="15"/>
              <w:rPr>
                <w:rFonts w:hint="eastAsia" w:ascii="仿宋" w:hAnsi="仿宋" w:eastAsia="仿宋" w:cs="仿宋"/>
                <w:color w:val="auto"/>
                <w:sz w:val="28"/>
                <w:szCs w:val="28"/>
                <w:highlight w:val="none"/>
                <w:u w:val="none"/>
                <w:vertAlign w:val="baseline"/>
                <w:lang w:eastAsia="zh-CN"/>
              </w:rPr>
            </w:pPr>
            <w:r>
              <w:rPr>
                <w:rFonts w:hint="eastAsia" w:ascii="仿宋" w:hAnsi="仿宋" w:eastAsia="仿宋" w:cs="仿宋"/>
                <w:color w:val="auto"/>
                <w:sz w:val="28"/>
                <w:szCs w:val="28"/>
                <w:highlight w:val="none"/>
                <w:u w:val="none"/>
                <w:vertAlign w:val="baseline"/>
                <w:lang w:val="en-US" w:eastAsia="zh-CN"/>
              </w:rPr>
              <w:t>南浔</w:t>
            </w:r>
          </w:p>
        </w:tc>
        <w:tc>
          <w:tcPr>
            <w:tcW w:w="1545" w:type="dxa"/>
            <w:vAlign w:val="center"/>
          </w:tcPr>
          <w:p w14:paraId="3521CD48">
            <w:pPr>
              <w:pStyle w:val="15"/>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199956.5</w:t>
            </w:r>
          </w:p>
        </w:tc>
        <w:tc>
          <w:tcPr>
            <w:tcW w:w="2040" w:type="dxa"/>
            <w:vMerge w:val="continue"/>
            <w:vAlign w:val="center"/>
          </w:tcPr>
          <w:p w14:paraId="641A22D8">
            <w:pPr>
              <w:pStyle w:val="15"/>
              <w:rPr>
                <w:rFonts w:hint="eastAsia" w:ascii="仿宋" w:hAnsi="仿宋" w:eastAsia="仿宋" w:cs="仿宋"/>
                <w:color w:val="auto"/>
                <w:sz w:val="28"/>
                <w:szCs w:val="28"/>
                <w:highlight w:val="none"/>
                <w:u w:val="none"/>
                <w:vertAlign w:val="baseline"/>
                <w:lang w:val="en-US" w:eastAsia="zh-CN"/>
              </w:rPr>
            </w:pPr>
          </w:p>
        </w:tc>
      </w:tr>
      <w:tr w14:paraId="57312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410" w:type="dxa"/>
            <w:vAlign w:val="center"/>
          </w:tcPr>
          <w:p w14:paraId="3365A1AA">
            <w:pPr>
              <w:pStyle w:val="15"/>
              <w:rPr>
                <w:rFonts w:hint="eastAsia" w:ascii="仿宋" w:hAnsi="仿宋" w:eastAsia="仿宋" w:cs="仿宋"/>
                <w:color w:val="auto"/>
                <w:sz w:val="28"/>
                <w:szCs w:val="28"/>
                <w:highlight w:val="none"/>
                <w:u w:val="none"/>
                <w:vertAlign w:val="baseline"/>
                <w:lang w:val="en-US" w:eastAsia="zh-CN"/>
              </w:rPr>
            </w:pPr>
            <w:bookmarkStart w:id="83" w:name="OLE_LINK57" w:colFirst="2" w:colLast="3"/>
            <w:r>
              <w:rPr>
                <w:rFonts w:hint="eastAsia" w:ascii="仿宋" w:hAnsi="仿宋" w:eastAsia="仿宋" w:cs="仿宋"/>
                <w:color w:val="auto"/>
                <w:sz w:val="28"/>
                <w:szCs w:val="28"/>
                <w:highlight w:val="none"/>
                <w:u w:val="none"/>
                <w:vertAlign w:val="baseline"/>
                <w:lang w:val="en-US" w:eastAsia="zh-CN"/>
              </w:rPr>
              <w:t>三标段</w:t>
            </w:r>
          </w:p>
        </w:tc>
        <w:tc>
          <w:tcPr>
            <w:tcW w:w="3285" w:type="dxa"/>
            <w:vAlign w:val="center"/>
          </w:tcPr>
          <w:p w14:paraId="7C1A3F68">
            <w:pPr>
              <w:bidi w:val="0"/>
              <w:spacing w:line="400" w:lineRule="exact"/>
              <w:jc w:val="center"/>
              <w:rPr>
                <w:rFonts w:hint="eastAsia" w:ascii="仿宋" w:hAnsi="仿宋" w:eastAsia="仿宋" w:cs="仿宋"/>
                <w:color w:val="auto"/>
                <w:kern w:val="0"/>
                <w:sz w:val="28"/>
                <w:szCs w:val="28"/>
                <w:highlight w:val="none"/>
                <w:u w:val="none"/>
                <w:vertAlign w:val="baseline"/>
                <w:lang w:val="en-US" w:eastAsia="zh-CN" w:bidi="ar-SA"/>
              </w:rPr>
            </w:pPr>
            <w:bookmarkStart w:id="84" w:name="OLE_LINK58"/>
            <w:r>
              <w:rPr>
                <w:rFonts w:hint="eastAsia" w:ascii="仿宋" w:hAnsi="仿宋" w:eastAsia="仿宋" w:cs="仿宋"/>
                <w:color w:val="auto"/>
                <w:kern w:val="0"/>
                <w:sz w:val="28"/>
                <w:szCs w:val="28"/>
                <w:highlight w:val="none"/>
                <w:u w:val="none"/>
                <w:vertAlign w:val="baseline"/>
                <w:lang w:val="en-US" w:eastAsia="zh-CN" w:bidi="ar-SA"/>
              </w:rPr>
              <w:t>东宗线练市（窑墩角桥-东宗线与江南运河岔口）</w:t>
            </w:r>
            <w:bookmarkEnd w:id="84"/>
          </w:p>
        </w:tc>
        <w:tc>
          <w:tcPr>
            <w:tcW w:w="1530" w:type="dxa"/>
            <w:vAlign w:val="center"/>
          </w:tcPr>
          <w:p w14:paraId="19656634">
            <w:pPr>
              <w:bidi w:val="0"/>
              <w:jc w:val="center"/>
              <w:rPr>
                <w:rFonts w:hint="eastAsia" w:ascii="仿宋" w:hAnsi="仿宋" w:eastAsia="仿宋" w:cs="仿宋"/>
                <w:color w:val="auto"/>
                <w:kern w:val="0"/>
                <w:sz w:val="28"/>
                <w:szCs w:val="28"/>
                <w:highlight w:val="none"/>
                <w:u w:val="none"/>
                <w:vertAlign w:val="baseline"/>
                <w:lang w:val="en-US" w:eastAsia="zh-CN" w:bidi="ar-SA"/>
              </w:rPr>
            </w:pPr>
            <w:r>
              <w:rPr>
                <w:rFonts w:hint="eastAsia" w:ascii="仿宋" w:hAnsi="仿宋" w:eastAsia="仿宋" w:cs="仿宋"/>
                <w:color w:val="auto"/>
                <w:kern w:val="0"/>
                <w:sz w:val="28"/>
                <w:szCs w:val="28"/>
                <w:highlight w:val="none"/>
                <w:u w:val="none"/>
                <w:vertAlign w:val="baseline"/>
                <w:lang w:val="en-US" w:eastAsia="zh-CN" w:bidi="ar-SA"/>
              </w:rPr>
              <w:t>练市</w:t>
            </w:r>
          </w:p>
        </w:tc>
        <w:tc>
          <w:tcPr>
            <w:tcW w:w="1545" w:type="dxa"/>
            <w:vAlign w:val="center"/>
          </w:tcPr>
          <w:p w14:paraId="28AAAF05">
            <w:pPr>
              <w:bidi w:val="0"/>
              <w:jc w:val="center"/>
              <w:rPr>
                <w:rFonts w:hint="eastAsia" w:ascii="仿宋" w:hAnsi="仿宋" w:eastAsia="仿宋" w:cs="仿宋"/>
                <w:color w:val="auto"/>
                <w:kern w:val="0"/>
                <w:sz w:val="28"/>
                <w:szCs w:val="28"/>
                <w:highlight w:val="none"/>
                <w:u w:val="none"/>
                <w:vertAlign w:val="baseline"/>
                <w:lang w:val="en-US" w:eastAsia="zh-CN" w:bidi="ar-SA"/>
              </w:rPr>
            </w:pPr>
            <w:r>
              <w:rPr>
                <w:rFonts w:hint="eastAsia" w:ascii="仿宋" w:hAnsi="仿宋" w:eastAsia="仿宋" w:cs="仿宋"/>
                <w:color w:val="auto"/>
                <w:kern w:val="0"/>
                <w:sz w:val="28"/>
                <w:szCs w:val="28"/>
                <w:highlight w:val="none"/>
                <w:u w:val="none"/>
                <w:vertAlign w:val="baseline"/>
                <w:lang w:val="en-US" w:eastAsia="zh-CN" w:bidi="ar-SA"/>
              </w:rPr>
              <w:t>206304.3</w:t>
            </w:r>
          </w:p>
        </w:tc>
        <w:tc>
          <w:tcPr>
            <w:tcW w:w="2040" w:type="dxa"/>
            <w:vAlign w:val="center"/>
          </w:tcPr>
          <w:p w14:paraId="1B9A52E1">
            <w:pPr>
              <w:pStyle w:val="15"/>
              <w:rPr>
                <w:rFonts w:hint="eastAsia" w:ascii="仿宋" w:hAnsi="仿宋" w:eastAsia="仿宋" w:cs="仿宋"/>
                <w:color w:val="auto"/>
                <w:kern w:val="0"/>
                <w:sz w:val="28"/>
                <w:szCs w:val="28"/>
                <w:highlight w:val="none"/>
                <w:u w:val="none"/>
                <w:vertAlign w:val="baseline"/>
                <w:lang w:val="en-US" w:eastAsia="zh-CN" w:bidi="ar-SA"/>
              </w:rPr>
            </w:pPr>
            <w:r>
              <w:rPr>
                <w:rFonts w:hint="eastAsia" w:ascii="仿宋" w:hAnsi="仿宋" w:eastAsia="仿宋" w:cs="仿宋"/>
                <w:color w:val="auto"/>
                <w:kern w:val="0"/>
                <w:sz w:val="28"/>
                <w:szCs w:val="28"/>
                <w:highlight w:val="none"/>
                <w:u w:val="none"/>
                <w:vertAlign w:val="baseline"/>
                <w:lang w:val="en-US" w:eastAsia="zh-CN" w:bidi="ar-SA"/>
              </w:rPr>
              <w:t>228201.35</w:t>
            </w:r>
          </w:p>
        </w:tc>
      </w:tr>
      <w:bookmarkEnd w:id="83"/>
    </w:tbl>
    <w:p w14:paraId="38385E8E">
      <w:pPr>
        <w:rPr>
          <w:rFonts w:hint="eastAsia" w:ascii="仿宋" w:hAnsi="仿宋" w:eastAsia="仿宋" w:cs="仿宋"/>
          <w:color w:val="auto"/>
          <w:sz w:val="28"/>
          <w:szCs w:val="28"/>
          <w:highlight w:val="none"/>
        </w:rPr>
      </w:pPr>
    </w:p>
    <w:p w14:paraId="6BE6122F">
      <w:pPr>
        <w:spacing w:line="360" w:lineRule="auto"/>
        <w:ind w:firstLine="880"/>
        <w:jc w:val="center"/>
        <w:rPr>
          <w:rFonts w:hint="eastAsia" w:ascii="方正小标宋简体" w:hAnsi="方正小标宋简体" w:eastAsia="方正小标宋简体" w:cs="方正小标宋简体"/>
          <w:color w:val="auto"/>
          <w:sz w:val="44"/>
          <w:szCs w:val="44"/>
          <w:highlight w:val="none"/>
          <w:lang w:val="zh-CN" w:eastAsia="zh-CN"/>
        </w:rPr>
        <w:sectPr>
          <w:headerReference r:id="rId4" w:type="default"/>
          <w:footerReference r:id="rId5" w:type="default"/>
          <w:pgSz w:w="11906" w:h="16838"/>
          <w:pgMar w:top="1440" w:right="1179" w:bottom="1440" w:left="1179" w:header="851" w:footer="992" w:gutter="0"/>
          <w:pgBorders>
            <w:top w:val="none" w:sz="0" w:space="0"/>
            <w:left w:val="none" w:sz="0" w:space="0"/>
            <w:bottom w:val="none" w:sz="0" w:space="0"/>
            <w:right w:val="none" w:sz="0" w:space="0"/>
          </w:pgBorders>
          <w:pgNumType w:fmt="numberInDash"/>
          <w:cols w:space="720" w:num="1"/>
          <w:rtlGutter w:val="0"/>
          <w:docGrid w:type="lines" w:linePitch="315" w:charSpace="0"/>
        </w:sectPr>
      </w:pPr>
    </w:p>
    <w:p w14:paraId="52684E89">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绿化养护</w:t>
      </w:r>
      <w:r>
        <w:rPr>
          <w:rFonts w:hint="eastAsia" w:ascii="方正小标宋简体" w:hAnsi="方正小标宋简体" w:eastAsia="方正小标宋简体" w:cs="方正小标宋简体"/>
          <w:b w:val="0"/>
          <w:bCs w:val="0"/>
          <w:color w:val="auto"/>
          <w:sz w:val="44"/>
          <w:szCs w:val="44"/>
          <w:lang w:val="zh-CN"/>
        </w:rPr>
        <w:t>合同</w:t>
      </w:r>
    </w:p>
    <w:p w14:paraId="710353C6">
      <w:pPr>
        <w:keepNext w:val="0"/>
        <w:keepLines w:val="0"/>
        <w:pageBreakBefore w:val="0"/>
        <w:kinsoku/>
        <w:wordWrap/>
        <w:overflowPunct/>
        <w:topLinePunct w:val="0"/>
        <w:bidi w:val="0"/>
        <w:snapToGrid/>
        <w:spacing w:line="560" w:lineRule="exact"/>
        <w:ind w:left="0" w:firstLine="480" w:firstLineChars="200"/>
        <w:jc w:val="center"/>
        <w:textAlignment w:val="auto"/>
        <w:rPr>
          <w:rFonts w:hint="eastAsia" w:ascii="仿宋_GB2312" w:hAnsi="仿宋_GB2312" w:eastAsia="仿宋_GB2312" w:cs="仿宋_GB2312"/>
          <w:color w:val="auto"/>
          <w:sz w:val="24"/>
          <w:szCs w:val="24"/>
          <w:lang w:val="en-US" w:eastAsia="zh-CN"/>
        </w:rPr>
      </w:pPr>
      <w:bookmarkStart w:id="85" w:name="OLE_LINK24"/>
      <w:r>
        <w:rPr>
          <w:rFonts w:hint="eastAsia" w:ascii="仿宋_GB2312" w:hAnsi="仿宋_GB2312" w:eastAsia="仿宋_GB2312" w:cs="仿宋_GB2312"/>
          <w:color w:val="auto"/>
          <w:sz w:val="24"/>
          <w:szCs w:val="24"/>
          <w:lang w:val="en-US" w:eastAsia="zh-CN"/>
        </w:rPr>
        <w:t>（合同模板，具体以签订为准）</w:t>
      </w:r>
    </w:p>
    <w:bookmarkEnd w:id="85"/>
    <w:p w14:paraId="05A5F696">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bookmarkStart w:id="86" w:name="OLE_LINK27"/>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14:paraId="330E8AAA">
      <w:pPr>
        <w:keepNext w:val="0"/>
        <w:keepLines w:val="0"/>
        <w:pageBreakBefore w:val="0"/>
        <w:kinsoku/>
        <w:wordWrap/>
        <w:overflowPunct/>
        <w:topLinePunct w:val="0"/>
        <w:bidi w:val="0"/>
        <w:snapToGrid/>
        <w:spacing w:line="560" w:lineRule="exact"/>
        <w:ind w:left="0" w:firstLine="560" w:firstLineChars="200"/>
        <w:jc w:val="lef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bookmarkEnd w:id="86"/>
    <w:p w14:paraId="7EBF56A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14:paraId="57A08756">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14:paraId="3E217436">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14:paraId="465FEDB2">
      <w:pPr>
        <w:pStyle w:val="2"/>
        <w:keepNext w:val="0"/>
        <w:keepLines w:val="0"/>
        <w:pageBreakBefore w:val="0"/>
        <w:kinsoku/>
        <w:wordWrap/>
        <w:overflowPunct/>
        <w:topLinePunct w:val="0"/>
        <w:bidi w:val="0"/>
        <w:snapToGrid/>
        <w:spacing w:after="0" w:afterLines="0" w:line="56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r>
        <w:rPr>
          <w:rFonts w:hint="eastAsia" w:ascii="仿宋_GB2312" w:hAnsi="仿宋_GB2312" w:eastAsia="仿宋_GB2312" w:cs="仿宋_GB2312"/>
          <w:color w:val="auto"/>
          <w:kern w:val="0"/>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lang w:val="en-US" w:eastAsia="zh-CN"/>
        </w:rPr>
        <w:t xml:space="preserve">                                      </w:t>
      </w:r>
    </w:p>
    <w:p w14:paraId="7109F0AD">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r>
        <w:rPr>
          <w:rFonts w:hint="eastAsia" w:ascii="仿宋_GB2312" w:hAnsi="仿宋_GB2312" w:eastAsia="仿宋_GB2312" w:cs="仿宋_GB2312"/>
          <w:color w:val="auto"/>
          <w:kern w:val="0"/>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lang w:val="en-US" w:eastAsia="zh-CN"/>
        </w:rPr>
        <w:t xml:space="preserve">                                       </w:t>
      </w:r>
    </w:p>
    <w:p w14:paraId="251AB522">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highlight w:val="none"/>
          <w:lang w:val="zh-CN"/>
        </w:rPr>
        <w:t>3.施工内容：</w:t>
      </w:r>
      <w:r>
        <w:rPr>
          <w:rFonts w:hint="eastAsia" w:ascii="仿宋_GB2312" w:hAnsi="仿宋_GB2312" w:eastAsia="仿宋_GB2312" w:cs="仿宋_GB2312"/>
          <w:color w:val="auto"/>
          <w:kern w:val="0"/>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lang w:val="en-US" w:eastAsia="zh-CN"/>
        </w:rPr>
        <w:t xml:space="preserve">                                      </w:t>
      </w:r>
    </w:p>
    <w:p w14:paraId="6952E441">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绿化养护                                            </w:t>
      </w:r>
    </w:p>
    <w:p w14:paraId="1247EB05">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14:paraId="19A612D2">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14:paraId="2A75B6E3">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lang w:val="zh-CN"/>
        </w:rPr>
        <w:t>。</w:t>
      </w:r>
    </w:p>
    <w:p w14:paraId="03A712B9">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14:paraId="6F26C10F">
      <w:pPr>
        <w:keepNext w:val="0"/>
        <w:keepLines w:val="0"/>
        <w:pageBreakBefore w:val="0"/>
        <w:shd w:val="clear"/>
        <w:kinsoku/>
        <w:wordWrap/>
        <w:overflowPunct/>
        <w:topLinePunct w:val="0"/>
        <w:bidi w:val="0"/>
        <w:snapToGrid/>
        <w:spacing w:line="560" w:lineRule="exact"/>
        <w:ind w:left="19" w:leftChars="9" w:firstLine="537" w:firstLineChars="192"/>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bookmarkStart w:id="87" w:name="OLE_LINK6"/>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val="zh-CN" w:eastAsia="zh-CN"/>
        </w:rPr>
        <w:t>运营养护管理费：</w:t>
      </w:r>
      <w:r>
        <w:rPr>
          <w:rFonts w:hint="eastAsia" w:ascii="仿宋_GB2312" w:hAnsi="仿宋_GB2312" w:eastAsia="仿宋_GB2312" w:cs="仿宋_GB2312"/>
          <w:color w:val="auto"/>
          <w:sz w:val="28"/>
          <w:szCs w:val="28"/>
          <w:highlight w:val="none"/>
          <w:lang w:val="en-US" w:eastAsia="zh-CN"/>
        </w:rPr>
        <w:t>养护单价为</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元/m2·年，养护面积为</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m2，最终以实际养护面积为准。（</w:t>
      </w:r>
      <w:r>
        <w:rPr>
          <w:rFonts w:hint="eastAsia" w:ascii="仿宋" w:hAnsi="仿宋" w:eastAsia="仿宋" w:cs="仿宋"/>
          <w:color w:val="000000"/>
          <w:sz w:val="28"/>
          <w:szCs w:val="28"/>
          <w:highlight w:val="none"/>
          <w:lang w:val="en-US" w:eastAsia="zh-CN"/>
        </w:rPr>
        <w:t>合同签约养护单价为3家单位中标价的最低价。2.</w:t>
      </w:r>
      <w:r>
        <w:rPr>
          <w:rFonts w:hint="eastAsia" w:ascii="仿宋_GB2312" w:hAnsi="仿宋_GB2312" w:eastAsia="仿宋_GB2312" w:cs="仿宋_GB2312"/>
          <w:color w:val="auto"/>
          <w:kern w:val="0"/>
          <w:sz w:val="28"/>
          <w:szCs w:val="28"/>
          <w:highlight w:val="none"/>
          <w:lang w:val="en-US" w:eastAsia="zh-CN" w:bidi="ar-SA"/>
        </w:rPr>
        <w:t>安全应急处置费：</w:t>
      </w:r>
      <w:r>
        <w:rPr>
          <w:rFonts w:hint="eastAsia" w:ascii="仿宋_GB2312" w:hAnsi="仿宋_GB2312" w:eastAsia="仿宋_GB2312" w:cs="仿宋_GB2312"/>
          <w:color w:val="auto"/>
          <w:sz w:val="28"/>
          <w:szCs w:val="28"/>
          <w:highlight w:val="none"/>
          <w:lang w:val="en-US" w:eastAsia="zh-CN"/>
        </w:rPr>
        <w:t>以甲方确认的工程竣工审计结算价</w:t>
      </w:r>
      <w:r>
        <w:rPr>
          <w:rFonts w:hint="eastAsia" w:ascii="仿宋_GB2312" w:hAnsi="仿宋_GB2312" w:eastAsia="仿宋_GB2312" w:cs="仿宋_GB2312"/>
          <w:i w:val="0"/>
          <w:iCs w:val="0"/>
          <w:caps w:val="0"/>
          <w:color w:val="auto"/>
          <w:spacing w:val="0"/>
          <w:sz w:val="28"/>
          <w:szCs w:val="28"/>
          <w:highlight w:val="none"/>
          <w:u w:val="none"/>
          <w:shd w:val="clear" w:color="auto" w:fill="FFFFFF"/>
        </w:rPr>
        <w:t>×</w:t>
      </w:r>
      <w:r>
        <w:rPr>
          <w:rFonts w:hint="eastAsia" w:ascii="仿宋_GB2312" w:hAnsi="仿宋_GB2312" w:eastAsia="仿宋_GB2312" w:cs="仿宋_GB2312"/>
          <w:color w:val="auto"/>
          <w:sz w:val="28"/>
          <w:szCs w:val="28"/>
          <w:highlight w:val="none"/>
          <w:u w:val="none"/>
          <w:lang w:val="en-US" w:eastAsia="zh-CN"/>
        </w:rPr>
        <w:t>（1- 中标下浮率%）（注：</w:t>
      </w:r>
      <w:r>
        <w:rPr>
          <w:rFonts w:hint="eastAsia" w:ascii="仿宋" w:hAnsi="仿宋" w:eastAsia="仿宋" w:cs="仿宋"/>
          <w:color w:val="000000"/>
          <w:sz w:val="28"/>
          <w:szCs w:val="28"/>
          <w:highlight w:val="none"/>
          <w:lang w:val="en-US" w:eastAsia="zh-CN"/>
        </w:rPr>
        <w:t>3家单位</w:t>
      </w:r>
      <w:r>
        <w:rPr>
          <w:rFonts w:hint="eastAsia" w:ascii="仿宋_GB2312" w:hAnsi="仿宋_GB2312" w:eastAsia="仿宋_GB2312" w:cs="仿宋_GB2312"/>
          <w:color w:val="auto"/>
          <w:sz w:val="28"/>
          <w:szCs w:val="28"/>
          <w:highlight w:val="none"/>
          <w:lang w:val="en-US" w:eastAsia="zh-CN"/>
        </w:rPr>
        <w:t>中下浮最高的</w:t>
      </w:r>
      <w:r>
        <w:rPr>
          <w:rFonts w:hint="eastAsia" w:ascii="仿宋_GB2312" w:hAnsi="仿宋_GB2312" w:eastAsia="仿宋_GB2312" w:cs="仿宋_GB2312"/>
          <w:color w:val="auto"/>
          <w:sz w:val="28"/>
          <w:szCs w:val="28"/>
          <w:highlight w:val="none"/>
          <w:lang w:val="zh-CN" w:eastAsia="zh-CN"/>
        </w:rPr>
        <w:t>投标报价）</w:t>
      </w:r>
      <w:r>
        <w:rPr>
          <w:rFonts w:hint="eastAsia" w:ascii="仿宋_GB2312" w:hAnsi="仿宋_GB2312" w:eastAsia="仿宋_GB2312" w:cs="仿宋_GB2312"/>
          <w:color w:val="auto"/>
          <w:sz w:val="28"/>
          <w:szCs w:val="28"/>
          <w:highlight w:val="none"/>
          <w:u w:val="none"/>
          <w:lang w:val="en-US" w:eastAsia="zh-CN"/>
        </w:rPr>
        <w:t>-其他扣款，</w:t>
      </w:r>
      <w:bookmarkEnd w:id="87"/>
      <w:r>
        <w:rPr>
          <w:rFonts w:hint="eastAsia" w:ascii="仿宋_GB2312" w:hAnsi="仿宋_GB2312" w:eastAsia="仿宋_GB2312" w:cs="仿宋_GB2312"/>
          <w:color w:val="auto"/>
          <w:sz w:val="28"/>
          <w:szCs w:val="28"/>
          <w:u w:val="none"/>
          <w:lang w:val="en-US" w:eastAsia="zh-CN"/>
        </w:rPr>
        <w:t>同时最终结算价不得高于业主单位与甲方确认后出具的本工程竣工结算审计报告对应金额</w:t>
      </w:r>
      <w:r>
        <w:rPr>
          <w:rFonts w:hint="eastAsia" w:ascii="仿宋_GB2312" w:hAnsi="仿宋_GB2312" w:eastAsia="仿宋_GB2312" w:cs="仿宋_GB2312"/>
          <w:i w:val="0"/>
          <w:iCs w:val="0"/>
          <w:caps w:val="0"/>
          <w:color w:val="auto"/>
          <w:spacing w:val="0"/>
          <w:sz w:val="28"/>
          <w:szCs w:val="28"/>
          <w:u w:val="none"/>
          <w:shd w:val="clear" w:color="auto" w:fill="FFFFFF"/>
        </w:rPr>
        <w:t>×</w:t>
      </w:r>
      <w:r>
        <w:rPr>
          <w:rFonts w:hint="eastAsia" w:ascii="仿宋_GB2312" w:hAnsi="仿宋_GB2312" w:eastAsia="仿宋_GB2312" w:cs="仿宋_GB2312"/>
          <w:color w:val="auto"/>
          <w:sz w:val="28"/>
          <w:szCs w:val="28"/>
          <w:u w:val="none"/>
          <w:lang w:val="en-US" w:eastAsia="zh-CN"/>
        </w:rPr>
        <w:t>（1- 中标下浮率%</w:t>
      </w:r>
      <w:bookmarkStart w:id="88" w:name="OLE_LINK44"/>
      <w:r>
        <w:rPr>
          <w:rFonts w:hint="eastAsia" w:ascii="仿宋_GB2312" w:hAnsi="仿宋_GB2312" w:eastAsia="仿宋_GB2312" w:cs="仿宋_GB2312"/>
          <w:color w:val="auto"/>
          <w:sz w:val="28"/>
          <w:szCs w:val="28"/>
          <w:highlight w:val="none"/>
          <w:u w:val="none"/>
          <w:lang w:val="en-US" w:eastAsia="zh-CN"/>
        </w:rPr>
        <w:t>）（注：</w:t>
      </w:r>
      <w:r>
        <w:rPr>
          <w:rFonts w:hint="eastAsia" w:ascii="仿宋" w:hAnsi="仿宋" w:eastAsia="仿宋" w:cs="仿宋"/>
          <w:color w:val="000000"/>
          <w:sz w:val="28"/>
          <w:szCs w:val="28"/>
          <w:highlight w:val="none"/>
          <w:lang w:val="en-US" w:eastAsia="zh-CN"/>
        </w:rPr>
        <w:t>3家单位</w:t>
      </w:r>
      <w:r>
        <w:rPr>
          <w:rFonts w:hint="eastAsia" w:ascii="仿宋_GB2312" w:hAnsi="仿宋_GB2312" w:eastAsia="仿宋_GB2312" w:cs="仿宋_GB2312"/>
          <w:color w:val="auto"/>
          <w:sz w:val="28"/>
          <w:szCs w:val="28"/>
          <w:highlight w:val="none"/>
          <w:lang w:val="en-US" w:eastAsia="zh-CN"/>
        </w:rPr>
        <w:t>中下浮最高的</w:t>
      </w:r>
      <w:r>
        <w:rPr>
          <w:rFonts w:hint="eastAsia" w:ascii="仿宋_GB2312" w:hAnsi="仿宋_GB2312" w:eastAsia="仿宋_GB2312" w:cs="仿宋_GB2312"/>
          <w:color w:val="auto"/>
          <w:sz w:val="28"/>
          <w:szCs w:val="28"/>
          <w:highlight w:val="none"/>
          <w:lang w:val="zh-CN" w:eastAsia="zh-CN"/>
        </w:rPr>
        <w:t>投标报价）</w:t>
      </w:r>
      <w:bookmarkEnd w:id="88"/>
      <w:r>
        <w:rPr>
          <w:rFonts w:hint="eastAsia" w:ascii="仿宋_GB2312" w:hAnsi="仿宋_GB2312" w:eastAsia="仿宋_GB2312" w:cs="仿宋_GB2312"/>
          <w:color w:val="auto"/>
          <w:sz w:val="28"/>
          <w:szCs w:val="28"/>
          <w:u w:val="none"/>
          <w:lang w:val="en-US" w:eastAsia="zh-CN"/>
        </w:rPr>
        <w:t>。</w:t>
      </w:r>
    </w:p>
    <w:p w14:paraId="11BDBDFB">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14:paraId="22B7A345">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52349"/>
          <w:placeholder>
            <w:docPart w:val="{0b5dcc6c-5d42-420b-89b7-bfbe3c8e02e7}"/>
          </w:placeholder>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合同签订之日起至2026年08月31日止 </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14:paraId="7720F1AE">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14:paraId="521C28F2">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14:paraId="2DDF3E57">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14:paraId="70C7E86C">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14:paraId="0AED394A">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14:paraId="59319C45">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14:paraId="14850979">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14:paraId="71335E38">
      <w:pPr>
        <w:keepNext w:val="0"/>
        <w:keepLines w:val="0"/>
        <w:pageBreakBefore w:val="0"/>
        <w:numPr>
          <w:ilvl w:val="0"/>
          <w:numId w:val="0"/>
        </w:numP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14:paraId="525114C5">
      <w:pPr>
        <w:pStyle w:val="2"/>
        <w:keepNext w:val="0"/>
        <w:keepLines w:val="0"/>
        <w:pageBreakBefore w:val="0"/>
        <w:numPr>
          <w:ilvl w:val="0"/>
          <w:numId w:val="0"/>
        </w:numP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2614"/>
          <w:placeholder>
            <w:docPart w:val="{341a61c0-8dc2-46d6-9aef-d8b71c7e6dc5}"/>
          </w:placeholder>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 /</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14:paraId="52523F2A">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14:paraId="31062112">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14:paraId="1ABFD3B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14:paraId="2A270DA1">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14:paraId="611281B8">
      <w:pPr>
        <w:keepNext w:val="0"/>
        <w:keepLines w:val="0"/>
        <w:pageBreakBefore w:val="0"/>
        <w:kinsoku/>
        <w:wordWrap/>
        <w:overflowPunct/>
        <w:topLinePunct w:val="0"/>
        <w:bidi w:val="0"/>
        <w:snapToGrid/>
        <w:spacing w:line="56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14:paraId="2159B583">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highlight w:val="none"/>
          <w:lang w:val="zh-CN" w:eastAsia="zh-CN"/>
        </w:rPr>
        <w:t>运营养护管理费年终根据考核结果及收到业主款项后根据结算方式支付。中标人在向甲方结算时出具有效增值税专用发票，增值税税率：6 %。本运营养护管理项目范围内养护用水、用电由</w:t>
      </w:r>
      <w:bookmarkStart w:id="89" w:name="OLE_LINK100"/>
      <w:r>
        <w:rPr>
          <w:rFonts w:hint="eastAsia" w:ascii="仿宋_GB2312" w:hAnsi="仿宋_GB2312" w:eastAsia="仿宋_GB2312" w:cs="仿宋_GB2312"/>
          <w:color w:val="auto"/>
          <w:sz w:val="28"/>
          <w:szCs w:val="28"/>
          <w:highlight w:val="none"/>
          <w:lang w:val="en-US" w:eastAsia="zh-CN"/>
        </w:rPr>
        <w:t>乙方</w:t>
      </w:r>
      <w:bookmarkEnd w:id="89"/>
      <w:r>
        <w:rPr>
          <w:rFonts w:hint="eastAsia" w:ascii="仿宋_GB2312" w:hAnsi="仿宋_GB2312" w:eastAsia="仿宋_GB2312" w:cs="仿宋_GB2312"/>
          <w:color w:val="auto"/>
          <w:sz w:val="28"/>
          <w:szCs w:val="28"/>
          <w:highlight w:val="none"/>
          <w:lang w:val="zh-CN" w:eastAsia="zh-CN"/>
        </w:rPr>
        <w:t>自理并承担费用。运营养护管理范围内路灯、管理用房（厕所）产生的水费、电费由</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lang w:val="zh-CN" w:eastAsia="zh-CN"/>
        </w:rPr>
        <w:t>垫付，</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lang w:val="zh-CN" w:eastAsia="zh-CN"/>
        </w:rPr>
        <w:t>配合办理相关手续，垫付费用经业主单位、</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lang w:val="zh-CN" w:eastAsia="zh-CN"/>
        </w:rPr>
        <w:t>确认后与运营养护管理服务费一并支付</w:t>
      </w:r>
      <w:r>
        <w:rPr>
          <w:rFonts w:hint="eastAsia" w:ascii="仿宋_GB2312" w:hAnsi="仿宋_GB2312" w:eastAsia="仿宋_GB2312" w:cs="仿宋_GB2312"/>
          <w:color w:val="auto"/>
          <w:sz w:val="28"/>
          <w:szCs w:val="28"/>
          <w:highlight w:val="none"/>
          <w:lang w:val="zh-CN"/>
        </w:rPr>
        <w:t>。</w:t>
      </w:r>
    </w:p>
    <w:p w14:paraId="374398DA">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14:paraId="35505B95">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14:paraId="1256BFA3">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20F9A68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14:paraId="66A826E0">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份，进行现场情况交底及组织有关技术交底。</w:t>
      </w:r>
    </w:p>
    <w:p w14:paraId="72B68822">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14:paraId="0CCA3ED0">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14:paraId="27C9FBEF">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14:paraId="6013EF03">
      <w:pPr>
        <w:pStyle w:val="14"/>
        <w:adjustRightInd w:val="0"/>
        <w:snapToGrid w:val="0"/>
        <w:spacing w:beforeAutospacing="0" w:afterAutospacing="0" w:line="560" w:lineRule="exact"/>
        <w:ind w:firstLine="560" w:firstLineChars="200"/>
        <w:outlineLvl w:val="4"/>
        <w:rPr>
          <w:rFonts w:hint="eastAsia" w:ascii="仿宋_GB2312" w:hAnsi="仿宋_GB2312" w:eastAsia="仿宋_GB2312" w:cs="仿宋_GB2312"/>
          <w:color w:val="auto"/>
          <w:kern w:val="2"/>
          <w:sz w:val="28"/>
          <w:szCs w:val="28"/>
          <w:lang w:val="zh-CN" w:eastAsia="zh-CN" w:bidi="ar-SA"/>
        </w:rPr>
      </w:pPr>
      <w:r>
        <w:rPr>
          <w:rFonts w:hint="eastAsia" w:ascii="仿宋_GB2312" w:hAnsi="仿宋_GB2312" w:eastAsia="仿宋_GB2312" w:cs="仿宋_GB2312"/>
          <w:color w:val="auto"/>
          <w:kern w:val="2"/>
          <w:sz w:val="28"/>
          <w:szCs w:val="28"/>
          <w:lang w:val="en-US" w:eastAsia="zh-CN" w:bidi="ar-SA"/>
        </w:rPr>
        <w:t>6</w:t>
      </w:r>
      <w:r>
        <w:rPr>
          <w:rFonts w:hint="eastAsia" w:ascii="仿宋_GB2312" w:hAnsi="仿宋_GB2312" w:eastAsia="仿宋_GB2312" w:cs="仿宋_GB2312"/>
          <w:color w:val="auto"/>
          <w:kern w:val="2"/>
          <w:sz w:val="28"/>
          <w:szCs w:val="28"/>
          <w:lang w:val="zh-CN" w:eastAsia="zh-CN" w:bidi="ar-SA"/>
        </w:rPr>
        <w:t>.代表和维护产权人、使用人的合法权益。</w:t>
      </w:r>
    </w:p>
    <w:p w14:paraId="260A12C5">
      <w:pPr>
        <w:pStyle w:val="14"/>
        <w:adjustRightInd w:val="0"/>
        <w:snapToGrid w:val="0"/>
        <w:spacing w:beforeAutospacing="0" w:afterAutospacing="0" w:line="560" w:lineRule="exact"/>
        <w:ind w:firstLine="560" w:firstLineChars="200"/>
        <w:outlineLvl w:val="3"/>
        <w:rPr>
          <w:rFonts w:hint="eastAsia" w:ascii="仿宋_GB2312" w:hAnsi="仿宋_GB2312" w:eastAsia="仿宋_GB2312" w:cs="仿宋_GB2312"/>
          <w:color w:val="auto"/>
          <w:kern w:val="2"/>
          <w:sz w:val="28"/>
          <w:szCs w:val="28"/>
          <w:lang w:val="zh-CN" w:eastAsia="zh-CN" w:bidi="ar-SA"/>
        </w:rPr>
      </w:pPr>
      <w:r>
        <w:rPr>
          <w:rFonts w:hint="eastAsia" w:ascii="仿宋_GB2312" w:hAnsi="仿宋_GB2312" w:eastAsia="仿宋_GB2312" w:cs="仿宋_GB2312"/>
          <w:color w:val="auto"/>
          <w:kern w:val="2"/>
          <w:sz w:val="28"/>
          <w:szCs w:val="28"/>
          <w:lang w:val="en-US" w:eastAsia="zh-CN" w:bidi="ar-SA"/>
        </w:rPr>
        <w:t>7</w:t>
      </w:r>
      <w:r>
        <w:rPr>
          <w:rFonts w:hint="eastAsia" w:ascii="仿宋_GB2312" w:hAnsi="仿宋_GB2312" w:eastAsia="仿宋_GB2312" w:cs="仿宋_GB2312"/>
          <w:color w:val="auto"/>
          <w:kern w:val="2"/>
          <w:sz w:val="28"/>
          <w:szCs w:val="28"/>
          <w:lang w:val="zh-CN" w:eastAsia="zh-CN" w:bidi="ar-SA"/>
        </w:rPr>
        <w:t>.审定乙方制定的《运营手册》和相关管理文件。乙方对本项目编制养护管理方案、建立的各项规章制度，在实施前要经甲方审核并报实施机构确认后方可执行。</w:t>
      </w:r>
    </w:p>
    <w:p w14:paraId="4545C128">
      <w:pPr>
        <w:pStyle w:val="14"/>
        <w:adjustRightInd w:val="0"/>
        <w:snapToGrid w:val="0"/>
        <w:spacing w:beforeAutospacing="0" w:afterAutospacing="0" w:line="560" w:lineRule="exact"/>
        <w:ind w:firstLine="560" w:firstLineChars="200"/>
        <w:outlineLvl w:val="3"/>
        <w:rPr>
          <w:rFonts w:hint="eastAsia" w:ascii="仿宋_GB2312" w:hAnsi="仿宋_GB2312" w:eastAsia="仿宋_GB2312" w:cs="仿宋_GB2312"/>
          <w:color w:val="auto"/>
          <w:kern w:val="2"/>
          <w:sz w:val="28"/>
          <w:szCs w:val="28"/>
          <w:lang w:val="zh-CN" w:eastAsia="zh-CN" w:bidi="ar-SA"/>
        </w:rPr>
      </w:pPr>
      <w:r>
        <w:rPr>
          <w:rFonts w:hint="eastAsia" w:ascii="仿宋_GB2312" w:hAnsi="仿宋_GB2312" w:eastAsia="仿宋_GB2312" w:cs="仿宋_GB2312"/>
          <w:color w:val="auto"/>
          <w:kern w:val="2"/>
          <w:sz w:val="28"/>
          <w:szCs w:val="28"/>
          <w:lang w:val="en-US" w:eastAsia="zh-CN" w:bidi="ar-SA"/>
        </w:rPr>
        <w:t>8</w:t>
      </w:r>
      <w:r>
        <w:rPr>
          <w:rFonts w:hint="eastAsia" w:ascii="仿宋_GB2312" w:hAnsi="仿宋_GB2312" w:eastAsia="仿宋_GB2312" w:cs="仿宋_GB2312"/>
          <w:color w:val="auto"/>
          <w:kern w:val="2"/>
          <w:sz w:val="28"/>
          <w:szCs w:val="28"/>
          <w:lang w:val="zh-CN" w:eastAsia="zh-CN" w:bidi="ar-SA"/>
        </w:rPr>
        <w:t>.有权对乙方进行定期或不定期考核以及年度综合考核，并根据考核情况支付相应的运营养护管理服务费。</w:t>
      </w:r>
    </w:p>
    <w:p w14:paraId="09F8D833">
      <w:pPr>
        <w:pStyle w:val="14"/>
        <w:adjustRightInd w:val="0"/>
        <w:snapToGrid w:val="0"/>
        <w:spacing w:beforeAutospacing="0" w:afterAutospacing="0" w:line="560" w:lineRule="exact"/>
        <w:ind w:firstLine="560" w:firstLineChars="200"/>
        <w:rPr>
          <w:rFonts w:hint="eastAsia" w:ascii="仿宋_GB2312" w:hAnsi="仿宋_GB2312" w:eastAsia="仿宋_GB2312" w:cs="仿宋_GB2312"/>
          <w:color w:val="auto"/>
          <w:kern w:val="2"/>
          <w:sz w:val="28"/>
          <w:szCs w:val="28"/>
          <w:lang w:val="zh-CN" w:eastAsia="zh-CN" w:bidi="ar-SA"/>
        </w:rPr>
      </w:pPr>
      <w:r>
        <w:rPr>
          <w:rFonts w:hint="eastAsia" w:ascii="仿宋_GB2312" w:hAnsi="仿宋_GB2312" w:eastAsia="仿宋_GB2312" w:cs="仿宋_GB2312"/>
          <w:color w:val="auto"/>
          <w:kern w:val="2"/>
          <w:sz w:val="28"/>
          <w:szCs w:val="28"/>
          <w:lang w:val="en-US" w:eastAsia="zh-CN" w:bidi="ar-SA"/>
        </w:rPr>
        <w:t>9</w:t>
      </w:r>
      <w:r>
        <w:rPr>
          <w:rFonts w:hint="eastAsia" w:ascii="仿宋_GB2312" w:hAnsi="仿宋_GB2312" w:eastAsia="仿宋_GB2312" w:cs="仿宋_GB2312"/>
          <w:color w:val="auto"/>
          <w:kern w:val="2"/>
          <w:sz w:val="28"/>
          <w:szCs w:val="28"/>
          <w:lang w:val="zh-CN" w:eastAsia="zh-CN" w:bidi="ar-SA"/>
        </w:rPr>
        <w:t>.对合同范围内的湖漾和骨干河道设施运营养护管理运行情况进行监督管理。</w:t>
      </w:r>
    </w:p>
    <w:p w14:paraId="113C1717">
      <w:pPr>
        <w:pStyle w:val="14"/>
        <w:adjustRightInd w:val="0"/>
        <w:snapToGrid w:val="0"/>
        <w:spacing w:beforeAutospacing="0" w:afterAutospacing="0" w:line="560" w:lineRule="exact"/>
        <w:ind w:firstLine="560" w:firstLineChars="200"/>
        <w:rPr>
          <w:rFonts w:hint="eastAsia" w:ascii="仿宋_GB2312" w:hAnsi="仿宋_GB2312" w:eastAsia="仿宋_GB2312" w:cs="仿宋_GB2312"/>
          <w:color w:val="auto"/>
          <w:kern w:val="2"/>
          <w:sz w:val="28"/>
          <w:szCs w:val="28"/>
          <w:lang w:val="zh-CN" w:eastAsia="zh-CN" w:bidi="ar-SA"/>
        </w:rPr>
      </w:pPr>
      <w:r>
        <w:rPr>
          <w:rFonts w:hint="eastAsia" w:ascii="仿宋_GB2312" w:hAnsi="仿宋_GB2312" w:eastAsia="仿宋_GB2312" w:cs="仿宋_GB2312"/>
          <w:color w:val="auto"/>
          <w:kern w:val="2"/>
          <w:sz w:val="28"/>
          <w:szCs w:val="28"/>
          <w:lang w:val="en-US" w:eastAsia="zh-CN" w:bidi="ar-SA"/>
        </w:rPr>
        <w:t>10</w:t>
      </w:r>
      <w:r>
        <w:rPr>
          <w:rFonts w:hint="eastAsia" w:ascii="仿宋_GB2312" w:hAnsi="仿宋_GB2312" w:eastAsia="仿宋_GB2312" w:cs="仿宋_GB2312"/>
          <w:color w:val="auto"/>
          <w:kern w:val="2"/>
          <w:sz w:val="28"/>
          <w:szCs w:val="28"/>
          <w:lang w:val="zh-CN" w:eastAsia="zh-CN" w:bidi="ar-SA"/>
        </w:rPr>
        <w:t>.审定年度和月度养护运行计划，审核乙方上报的运营养护管理工作量报表，检查运营养护管理计划执行情况。</w:t>
      </w:r>
    </w:p>
    <w:p w14:paraId="22FDABAD">
      <w:pPr>
        <w:pStyle w:val="14"/>
        <w:adjustRightInd w:val="0"/>
        <w:snapToGrid w:val="0"/>
        <w:spacing w:beforeAutospacing="0" w:afterAutospacing="0" w:line="560" w:lineRule="exact"/>
        <w:ind w:firstLine="560" w:firstLineChars="200"/>
        <w:rPr>
          <w:rFonts w:hint="eastAsia" w:ascii="仿宋_GB2312" w:hAnsi="仿宋_GB2312" w:eastAsia="仿宋_GB2312" w:cs="仿宋_GB2312"/>
          <w:color w:val="auto"/>
          <w:kern w:val="2"/>
          <w:sz w:val="28"/>
          <w:szCs w:val="28"/>
          <w:lang w:val="zh-CN" w:eastAsia="zh-CN" w:bidi="ar-SA"/>
        </w:rPr>
      </w:pPr>
      <w:r>
        <w:rPr>
          <w:rFonts w:hint="eastAsia" w:ascii="仿宋_GB2312" w:hAnsi="仿宋_GB2312" w:eastAsia="仿宋_GB2312" w:cs="仿宋_GB2312"/>
          <w:color w:val="auto"/>
          <w:kern w:val="2"/>
          <w:sz w:val="28"/>
          <w:szCs w:val="28"/>
          <w:lang w:val="en-US" w:eastAsia="zh-CN" w:bidi="ar-SA"/>
        </w:rPr>
        <w:t>11</w:t>
      </w:r>
      <w:r>
        <w:rPr>
          <w:rFonts w:hint="eastAsia" w:ascii="仿宋_GB2312" w:hAnsi="仿宋_GB2312" w:eastAsia="仿宋_GB2312" w:cs="仿宋_GB2312"/>
          <w:color w:val="auto"/>
          <w:kern w:val="2"/>
          <w:sz w:val="28"/>
          <w:szCs w:val="28"/>
          <w:lang w:val="zh-CN" w:eastAsia="zh-CN" w:bidi="ar-SA"/>
        </w:rPr>
        <w:t>.对乙方日常运营养护管理的质量、安全运行、巡查工作及资料台账进行定期或不定期检查，不符合甲方要求的，有权要求乙方立即整改。</w:t>
      </w:r>
    </w:p>
    <w:p w14:paraId="7DFB292C">
      <w:pPr>
        <w:pStyle w:val="14"/>
        <w:adjustRightInd w:val="0"/>
        <w:snapToGrid w:val="0"/>
        <w:spacing w:beforeAutospacing="0" w:afterAutospacing="0" w:line="560" w:lineRule="exact"/>
        <w:ind w:firstLine="560" w:firstLineChars="200"/>
        <w:rPr>
          <w:rFonts w:hint="eastAsia" w:ascii="仿宋_GB2312" w:hAnsi="仿宋_GB2312" w:eastAsia="仿宋_GB2312" w:cs="仿宋_GB2312"/>
          <w:color w:val="auto"/>
          <w:kern w:val="2"/>
          <w:sz w:val="28"/>
          <w:szCs w:val="28"/>
          <w:lang w:val="zh-CN" w:eastAsia="zh-CN" w:bidi="ar-SA"/>
        </w:rPr>
      </w:pPr>
      <w:r>
        <w:rPr>
          <w:rFonts w:hint="eastAsia" w:ascii="仿宋_GB2312" w:hAnsi="仿宋_GB2312" w:eastAsia="仿宋_GB2312" w:cs="仿宋_GB2312"/>
          <w:color w:val="auto"/>
          <w:kern w:val="2"/>
          <w:sz w:val="28"/>
          <w:szCs w:val="28"/>
          <w:lang w:val="en-US" w:eastAsia="zh-CN" w:bidi="ar-SA"/>
        </w:rPr>
        <w:t>12</w:t>
      </w:r>
      <w:r>
        <w:rPr>
          <w:rFonts w:hint="eastAsia" w:ascii="仿宋_GB2312" w:hAnsi="仿宋_GB2312" w:eastAsia="仿宋_GB2312" w:cs="仿宋_GB2312"/>
          <w:color w:val="auto"/>
          <w:kern w:val="2"/>
          <w:sz w:val="28"/>
          <w:szCs w:val="28"/>
          <w:lang w:val="zh-CN" w:eastAsia="zh-CN" w:bidi="ar-SA"/>
        </w:rPr>
        <w:t>.按照市委、市政府或上级部门指示，在防汛、抗台、抗雪和重大活动保障等特殊情况及重大事件发生时，可要求乙方采取应急措施，对湖漾和骨干河道设施进行特殊养护，费用另行结算。（以甲方对乙方下达书面通知为准）</w:t>
      </w:r>
    </w:p>
    <w:p w14:paraId="306D5D67">
      <w:pPr>
        <w:pStyle w:val="14"/>
        <w:adjustRightInd w:val="0"/>
        <w:snapToGrid w:val="0"/>
        <w:spacing w:beforeAutospacing="0" w:afterAutospacing="0" w:line="560" w:lineRule="exact"/>
        <w:ind w:firstLine="560" w:firstLineChars="200"/>
        <w:rPr>
          <w:rFonts w:hint="eastAsia" w:ascii="仿宋_GB2312" w:hAnsi="仿宋_GB2312" w:eastAsia="仿宋_GB2312" w:cs="仿宋_GB2312"/>
          <w:color w:val="auto"/>
          <w:kern w:val="2"/>
          <w:sz w:val="28"/>
          <w:szCs w:val="28"/>
          <w:lang w:val="zh-CN" w:eastAsia="zh-CN" w:bidi="ar-SA"/>
        </w:rPr>
      </w:pPr>
      <w:r>
        <w:rPr>
          <w:rFonts w:hint="eastAsia" w:ascii="仿宋_GB2312" w:hAnsi="仿宋_GB2312" w:eastAsia="仿宋_GB2312" w:cs="仿宋_GB2312"/>
          <w:color w:val="auto"/>
          <w:kern w:val="2"/>
          <w:sz w:val="28"/>
          <w:szCs w:val="28"/>
          <w:lang w:val="en-US" w:eastAsia="zh-CN" w:bidi="ar-SA"/>
        </w:rPr>
        <w:t>13</w:t>
      </w:r>
      <w:r>
        <w:rPr>
          <w:rFonts w:hint="eastAsia" w:ascii="仿宋_GB2312" w:hAnsi="仿宋_GB2312" w:eastAsia="仿宋_GB2312" w:cs="仿宋_GB2312"/>
          <w:color w:val="auto"/>
          <w:kern w:val="2"/>
          <w:sz w:val="28"/>
          <w:szCs w:val="28"/>
          <w:lang w:val="zh-CN" w:eastAsia="zh-CN" w:bidi="ar-SA"/>
        </w:rPr>
        <w:t>.对乙方承包运营养护管理范围内的湖漾和骨干河道设施运行状况和设施完好状况进行跟踪检查，发现乙方未按约定要求进行维护时，可要求乙方限期整改，并按合同约定进行处理。</w:t>
      </w:r>
    </w:p>
    <w:p w14:paraId="174BF869">
      <w:pPr>
        <w:pStyle w:val="14"/>
        <w:adjustRightInd w:val="0"/>
        <w:snapToGrid w:val="0"/>
        <w:spacing w:beforeAutospacing="0" w:afterAutospacing="0" w:line="560" w:lineRule="exact"/>
        <w:ind w:firstLine="560" w:firstLineChars="200"/>
        <w:rPr>
          <w:rFonts w:hint="eastAsia" w:ascii="仿宋_GB2312" w:hAnsi="仿宋_GB2312" w:eastAsia="仿宋_GB2312" w:cs="仿宋_GB2312"/>
          <w:color w:val="auto"/>
          <w:kern w:val="2"/>
          <w:sz w:val="28"/>
          <w:szCs w:val="28"/>
          <w:lang w:val="zh-CN" w:eastAsia="zh-CN" w:bidi="ar-SA"/>
        </w:rPr>
      </w:pPr>
      <w:r>
        <w:rPr>
          <w:rFonts w:hint="eastAsia" w:ascii="仿宋_GB2312" w:hAnsi="仿宋_GB2312" w:eastAsia="仿宋_GB2312" w:cs="仿宋_GB2312"/>
          <w:color w:val="auto"/>
          <w:kern w:val="2"/>
          <w:sz w:val="28"/>
          <w:szCs w:val="28"/>
          <w:lang w:val="en-US" w:eastAsia="zh-CN" w:bidi="ar-SA"/>
        </w:rPr>
        <w:t>14</w:t>
      </w:r>
      <w:r>
        <w:rPr>
          <w:rFonts w:hint="eastAsia" w:ascii="仿宋_GB2312" w:hAnsi="仿宋_GB2312" w:eastAsia="仿宋_GB2312" w:cs="仿宋_GB2312"/>
          <w:color w:val="auto"/>
          <w:kern w:val="2"/>
          <w:sz w:val="28"/>
          <w:szCs w:val="28"/>
          <w:lang w:val="zh-CN" w:eastAsia="zh-CN" w:bidi="ar-SA"/>
        </w:rPr>
        <w:t>.在处理特殊事件和紧急突发事故时，甲方对乙方派遣本项目的管理人员有直接指挥权。</w:t>
      </w:r>
    </w:p>
    <w:p w14:paraId="0E969AC7">
      <w:pPr>
        <w:pStyle w:val="14"/>
        <w:adjustRightInd w:val="0"/>
        <w:snapToGrid w:val="0"/>
        <w:spacing w:beforeAutospacing="0" w:afterAutospacing="0" w:line="560" w:lineRule="exact"/>
        <w:ind w:firstLine="560" w:firstLineChars="20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15.提供运营养护管理标准、作业规范及考核办法。</w:t>
      </w:r>
    </w:p>
    <w:p w14:paraId="20DC1755">
      <w:pPr>
        <w:pStyle w:val="14"/>
        <w:adjustRightInd w:val="0"/>
        <w:snapToGrid w:val="0"/>
        <w:spacing w:beforeAutospacing="0" w:afterAutospacing="0" w:line="560" w:lineRule="exact"/>
        <w:ind w:firstLine="560" w:firstLineChars="20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16.按约定拨付运营养护管理服务费。</w:t>
      </w:r>
    </w:p>
    <w:p w14:paraId="6D8AF169">
      <w:pPr>
        <w:pStyle w:val="14"/>
        <w:adjustRightInd w:val="0"/>
        <w:snapToGrid w:val="0"/>
        <w:spacing w:beforeAutospacing="0" w:afterAutospacing="0" w:line="560" w:lineRule="exact"/>
        <w:ind w:firstLine="560" w:firstLineChars="20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17.如遇防汛防台、抗雪防冻、水质突变处置、突发事件以及重大活动保障等工作，协调乙方在作业过程中同其他部门的关系。</w:t>
      </w:r>
    </w:p>
    <w:p w14:paraId="3679FE45">
      <w:pPr>
        <w:pStyle w:val="14"/>
        <w:adjustRightInd w:val="0"/>
        <w:snapToGrid w:val="0"/>
        <w:spacing w:beforeAutospacing="0" w:afterAutospacing="0" w:line="560" w:lineRule="exact"/>
        <w:ind w:firstLine="560" w:firstLineChars="200"/>
        <w:rPr>
          <w:rFonts w:hint="eastAsia" w:ascii="仿宋_GB2312" w:hAnsi="仿宋_GB2312" w:eastAsia="仿宋_GB2312" w:cs="仿宋_GB2312"/>
          <w:color w:val="auto"/>
          <w:kern w:val="2"/>
          <w:sz w:val="28"/>
          <w:szCs w:val="28"/>
          <w:lang w:val="zh-CN" w:eastAsia="zh-CN" w:bidi="ar-SA"/>
        </w:rPr>
      </w:pPr>
      <w:r>
        <w:rPr>
          <w:rFonts w:hint="eastAsia" w:ascii="仿宋_GB2312" w:hAnsi="仿宋_GB2312" w:eastAsia="仿宋_GB2312" w:cs="仿宋_GB2312"/>
          <w:color w:val="auto"/>
          <w:kern w:val="2"/>
          <w:sz w:val="28"/>
          <w:szCs w:val="28"/>
          <w:lang w:val="en-US" w:eastAsia="zh-CN" w:bidi="ar-SA"/>
        </w:rPr>
        <w:t>18.本项目运营养护管理内容或规模发生改变时，甲方应提前知会乙方，以便乙方及时调整管理方案。</w:t>
      </w:r>
    </w:p>
    <w:p w14:paraId="3D6DB54C">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1F284DC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14:paraId="19F3928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14:paraId="41A38B69">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14:paraId="27A116A5">
      <w:pPr>
        <w:pStyle w:val="2"/>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14:paraId="6AA2FC8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14:paraId="2BF3BA72">
      <w:pPr>
        <w:pStyle w:val="2"/>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14:paraId="6FD6C60E">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w:t>
      </w:r>
      <w:r>
        <w:rPr>
          <w:rFonts w:hint="eastAsia" w:ascii="仿宋_GB2312" w:hAnsi="仿宋_GB2312" w:eastAsia="仿宋_GB2312" w:cs="仿宋_GB2312"/>
          <w:color w:val="auto"/>
          <w:sz w:val="28"/>
          <w:szCs w:val="28"/>
          <w:lang w:val="en-US" w:eastAsia="zh-Hans"/>
        </w:rPr>
        <w:t>合同签订</w:t>
      </w:r>
      <w:r>
        <w:rPr>
          <w:rFonts w:hint="eastAsia" w:ascii="仿宋_GB2312" w:hAnsi="仿宋_GB2312" w:eastAsia="仿宋_GB2312" w:cs="仿宋_GB2312"/>
          <w:color w:val="auto"/>
          <w:sz w:val="28"/>
          <w:szCs w:val="28"/>
          <w:lang w:val="en-US" w:eastAsia="zh-CN"/>
        </w:rPr>
        <w:t>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14:paraId="3D904C7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14:paraId="3AFF341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14:paraId="0BA1E24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14:paraId="1663D5B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14:paraId="66E478CE">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color w:val="auto"/>
          <w:kern w:val="0"/>
          <w:sz w:val="28"/>
          <w:szCs w:val="28"/>
          <w:lang w:val="en-US" w:eastAsia="zh-CN"/>
        </w:rPr>
        <w:t>12</w:t>
      </w:r>
      <w:r>
        <w:rPr>
          <w:rFonts w:hint="eastAsia" w:ascii="仿宋_GB2312" w:hAnsi="仿宋_GB2312" w:eastAsia="仿宋_GB2312" w:cs="仿宋_GB2312"/>
          <w:color w:val="auto"/>
          <w:kern w:val="0"/>
          <w:sz w:val="28"/>
          <w:szCs w:val="28"/>
          <w:lang w:val="zh-CN" w:eastAsia="zh-CN"/>
        </w:rPr>
        <w:t>.本承包工程</w:t>
      </w:r>
      <w:r>
        <w:rPr>
          <w:rFonts w:hint="eastAsia" w:ascii="仿宋_GB2312" w:hAnsi="仿宋_GB2312" w:eastAsia="仿宋_GB2312" w:cs="仿宋_GB2312"/>
          <w:color w:val="auto"/>
          <w:kern w:val="0"/>
          <w:sz w:val="28"/>
          <w:szCs w:val="28"/>
          <w:lang w:val="en-US" w:eastAsia="zh-CN"/>
        </w:rPr>
        <w:t xml:space="preserve">   /   </w:t>
      </w:r>
      <w:r>
        <w:rPr>
          <w:rFonts w:hint="eastAsia" w:ascii="仿宋_GB2312" w:hAnsi="仿宋_GB2312" w:eastAsia="仿宋_GB2312" w:cs="仿宋_GB2312"/>
          <w:color w:val="auto"/>
          <w:kern w:val="0"/>
          <w:sz w:val="28"/>
          <w:szCs w:val="28"/>
          <w:lang w:val="zh-CN" w:eastAsia="zh-CN"/>
        </w:rPr>
        <w:t>费用均乙方自行承担，</w:t>
      </w:r>
      <w:r>
        <w:rPr>
          <w:rFonts w:hint="eastAsia" w:ascii="仿宋_GB2312" w:hAnsi="仿宋_GB2312" w:eastAsia="仿宋_GB2312" w:cs="仿宋_GB2312"/>
          <w:color w:val="auto"/>
          <w:kern w:val="0"/>
          <w:sz w:val="28"/>
          <w:szCs w:val="28"/>
          <w:lang w:val="en-US" w:eastAsia="zh-CN"/>
        </w:rPr>
        <w:t xml:space="preserve">   /   </w:t>
      </w:r>
      <w:r>
        <w:rPr>
          <w:rFonts w:hint="eastAsia" w:ascii="仿宋_GB2312" w:hAnsi="仿宋_GB2312" w:eastAsia="仿宋_GB2312" w:cs="仿宋_GB2312"/>
          <w:color w:val="auto"/>
          <w:kern w:val="0"/>
          <w:sz w:val="28"/>
          <w:szCs w:val="28"/>
          <w:lang w:val="zh-CN" w:eastAsia="zh-CN"/>
        </w:rPr>
        <w:t>等费用由甲方承担。</w:t>
      </w:r>
    </w:p>
    <w:p w14:paraId="2622BD77">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13.按照合同确定的运营养护管理范围，根据考核情况取得相应确定的运营养护管理服务费。</w:t>
      </w:r>
    </w:p>
    <w:p w14:paraId="22B3F021">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14.编制年度、月度运营养护管理计划和工作方案，经甲方审定后安排日常运营养护管理工作。</w:t>
      </w:r>
    </w:p>
    <w:p w14:paraId="35E7B60E">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15.必须严格按合同条款、运营养护管理质量标准及相关规定，精心组织养护，确保运营养护管理质量，确保项目设施始终处于良好营运状态并能够以安全、连续和稳定的方式提供符合适用法律和本合同要求的服务，并负责日常养护和小修保养责任，并承担各类设施、人员安全和公共安全责任。</w:t>
      </w:r>
    </w:p>
    <w:p w14:paraId="6CDDD178">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16.管理人员、养护作业人员及数量的投入、机械设备的投入必须与</w:t>
      </w:r>
      <w:r>
        <w:rPr>
          <w:rFonts w:hint="eastAsia" w:ascii="仿宋_GB2312" w:hAnsi="仿宋_GB2312" w:eastAsia="仿宋_GB2312" w:cs="仿宋_GB2312"/>
          <w:color w:val="auto"/>
          <w:kern w:val="0"/>
          <w:sz w:val="28"/>
          <w:szCs w:val="28"/>
          <w:lang w:val="en-US" w:eastAsia="zh-Hans"/>
        </w:rPr>
        <w:t>乙方</w:t>
      </w:r>
      <w:r>
        <w:rPr>
          <w:rFonts w:hint="eastAsia" w:ascii="仿宋_GB2312" w:hAnsi="仿宋_GB2312" w:eastAsia="仿宋_GB2312" w:cs="仿宋_GB2312"/>
          <w:color w:val="auto"/>
          <w:kern w:val="0"/>
          <w:sz w:val="28"/>
          <w:szCs w:val="28"/>
          <w:lang w:val="en-US" w:eastAsia="zh-CN"/>
        </w:rPr>
        <w:t>作出的承诺一致。管理人员若确需更换的，经甲方同意后可以更换不低于投标文件中管理人员水平（指执业注册资质、职称、业绩等）的人员。</w:t>
      </w:r>
    </w:p>
    <w:p w14:paraId="0A66FFAC">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17.接受政府、甲方对本项目运营养护管理的考核，根据有关法律法规及本合同的约定，制定运营养护管理方案、制度并经甲方审核报政府实施机构确认后实施。</w:t>
      </w:r>
    </w:p>
    <w:p w14:paraId="3D6A9CD7">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18.遇到防汛防台、防雪抗冻、重大活动保障、突发事件或自然灾害，必须服从甲方指挥与安排，并及时将有关情况上报至甲方。</w:t>
      </w:r>
    </w:p>
    <w:p w14:paraId="045A092B">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19.遇灾害性天气，听从甲方统一指挥，及时组织人员应对突发性情况，并完成甲方交办的突击性任务。</w:t>
      </w:r>
    </w:p>
    <w:p w14:paraId="0CF8FE1B">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20.协助甲方调查、解决市民来信来访及投诉（含数字城管），并根据甲方要求及时处理。</w:t>
      </w:r>
    </w:p>
    <w:p w14:paraId="010ED0A6">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21.维护好已建工程及水电设施，发现湖漾和骨干河道设施损坏或偷电、偷水、漏水等情况，及时做好现场处置并与相关部门联系。</w:t>
      </w:r>
    </w:p>
    <w:p w14:paraId="75A55CC8">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22.合同期满或本合同终止后1个月内，乙方应向甲方提交完整的运营养护管理台帐及其他全部运营养护相关资料、设施设备等，并按甲方要求做好与下一家养护企业的衔接；移交时质量仍应满足运营养护管理服务标准。</w:t>
      </w:r>
    </w:p>
    <w:p w14:paraId="0AEEC444">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23.制定灾害性天气应急预案，建立应急救灾队伍，将应急预案和人员名单上报至甲方备案。</w:t>
      </w:r>
    </w:p>
    <w:p w14:paraId="1FEECD98">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24.建立应急备货制，备货内容：防汛防台、抗雪防冻等物资及设备。</w:t>
      </w:r>
    </w:p>
    <w:p w14:paraId="19949FD6">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25.为确保安全、文明开展运营养护工作，乙方须本着“安全第一，预防为主”的原则，建立安全管理组织体系；严格贯彻国家、省、市和劳动保护、安全生产部门颁发的有关安全生产、消防工作的方针、政策、法规、条例、规定等执行，签订《养护项目安全责任书》。由于乙方安全措施不力、工作不到位、违反安全操作规程而导致责任事故或伤害，</w:t>
      </w:r>
      <w:r>
        <w:rPr>
          <w:rFonts w:hint="eastAsia" w:ascii="仿宋_GB2312" w:hAnsi="仿宋_GB2312" w:eastAsia="仿宋_GB2312" w:cs="仿宋_GB2312"/>
          <w:color w:val="auto"/>
          <w:kern w:val="0"/>
          <w:sz w:val="28"/>
          <w:szCs w:val="28"/>
          <w:lang w:val="en-US" w:eastAsia="zh-Hans"/>
        </w:rPr>
        <w:t>乙方根据责任划分承担相应费用</w:t>
      </w:r>
      <w:r>
        <w:rPr>
          <w:rFonts w:hint="eastAsia" w:ascii="仿宋_GB2312" w:hAnsi="仿宋_GB2312" w:eastAsia="仿宋_GB2312" w:cs="仿宋_GB2312"/>
          <w:color w:val="auto"/>
          <w:kern w:val="0"/>
          <w:sz w:val="28"/>
          <w:szCs w:val="28"/>
          <w:lang w:val="en-US" w:eastAsia="zh-CN"/>
        </w:rPr>
        <w:t>，甲方保留追究责任的权利。</w:t>
      </w:r>
    </w:p>
    <w:p w14:paraId="092899B3">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26.项目运营养护管理期的第三者责任险由乙方负责购买，其他保险乙方视情况自行购买。乙方缴纳的保险费用，已包含在本合同价款中，甲方不额外支付乙方任何保险费用。</w:t>
      </w:r>
    </w:p>
    <w:p w14:paraId="5FA89B23">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27.配合甲方、公共监督机构、政府部门参观考察及相关工作。</w:t>
      </w:r>
    </w:p>
    <w:p w14:paraId="6D713407">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color w:val="auto"/>
          <w:kern w:val="0"/>
          <w:sz w:val="28"/>
          <w:szCs w:val="28"/>
          <w:lang w:val="en-US" w:eastAsia="zh-CN"/>
        </w:rPr>
        <w:t>28.本合同或及其补充协议约定的其他运营养护管理内容。</w:t>
      </w:r>
    </w:p>
    <w:p w14:paraId="4D6B5DBB">
      <w:pPr>
        <w:keepNext w:val="0"/>
        <w:keepLines w:val="0"/>
        <w:pageBreakBefore w:val="0"/>
        <w:widowControl/>
        <w:kinsoku/>
        <w:wordWrap/>
        <w:overflowPunct/>
        <w:topLinePunct w:val="0"/>
        <w:bidi w:val="0"/>
        <w:snapToGrid/>
        <w:spacing w:line="56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14:paraId="5942DFA3">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14:paraId="0AF71D2E">
      <w:pPr>
        <w:keepNext w:val="0"/>
        <w:keepLines w:val="0"/>
        <w:pageBreakBefore w:val="0"/>
        <w:widowControl/>
        <w:kinsoku/>
        <w:wordWrap/>
        <w:overflowPunct/>
        <w:topLinePunct w:val="0"/>
        <w:bidi w:val="0"/>
        <w:snapToGrid/>
        <w:spacing w:line="56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14:paraId="1E57653D">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14:paraId="2F975FA6">
      <w:pPr>
        <w:pStyle w:val="2"/>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14:paraId="78CC424B">
      <w:pPr>
        <w:pStyle w:val="2"/>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罚20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14:paraId="437063C9">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14:paraId="57479FD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乙方承诺并保证本工程所有施工人员（管理人员、农民工等等）参与考勤，未按照规定进行考勤的，甲方有权可以不予支付工程款。乙方承诺并保证本工程不发生拖欠农民工工资的行为、不发生农民工讨薪事件，如发生民工讨薪的，积极、及时处理，否则甲方有权在未征得乙方同意的情况下先行垫付讨薪人员的薪资，相关垫付费用由甲方在乙方工程款中直接扣除，本工程工程款不够扣除的可以从乙方履约保证金或入库保证金、乙方其他任一工程的工程款中进行扣除，情节严重的取消其入库资格并清退出库。</w:t>
      </w:r>
    </w:p>
    <w:p w14:paraId="654ED906">
      <w:pPr>
        <w:pStyle w:val="2"/>
        <w:keepNext w:val="0"/>
        <w:keepLines w:val="0"/>
        <w:pageBreakBefore w:val="0"/>
        <w:widowControl/>
        <w:kinsoku/>
        <w:wordWrap/>
        <w:overflowPunct/>
        <w:topLinePunct w:val="0"/>
        <w:bidi w:val="0"/>
        <w:snapToGrid/>
        <w:spacing w:after="0" w:afterLines="0" w:line="56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14:paraId="6E0CF1E0">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14:paraId="53B36E82">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14:paraId="65FE896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w:t>
      </w:r>
      <w:r>
        <w:rPr>
          <w:rFonts w:hint="eastAsia" w:ascii="仿宋_GB2312" w:hAnsi="仿宋_GB2312" w:eastAsia="仿宋_GB2312" w:cs="仿宋_GB2312"/>
          <w:color w:val="auto"/>
          <w:sz w:val="28"/>
          <w:szCs w:val="28"/>
          <w:lang w:val="en-US" w:eastAsia="zh-CN"/>
        </w:rPr>
        <w:t>乙方投标时的</w:t>
      </w:r>
      <w:r>
        <w:rPr>
          <w:rFonts w:hint="eastAsia" w:ascii="仿宋_GB2312" w:hAnsi="仿宋_GB2312" w:eastAsia="仿宋_GB2312" w:cs="仿宋_GB2312"/>
          <w:color w:val="auto"/>
          <w:sz w:val="28"/>
          <w:szCs w:val="28"/>
          <w:lang w:val="zh-CN"/>
        </w:rPr>
        <w:t>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lang w:val="zh-CN"/>
        </w:rPr>
        <w:t>。</w:t>
      </w:r>
    </w:p>
    <w:p w14:paraId="0C043E75">
      <w:pPr>
        <w:pStyle w:val="2"/>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的处罚。</w:t>
      </w:r>
    </w:p>
    <w:p w14:paraId="34DAF5FC">
      <w:pPr>
        <w:pStyle w:val="2"/>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14:paraId="72031125">
      <w:pPr>
        <w:pStyle w:val="2"/>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14:paraId="3D031E73">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14:paraId="46D5BB77">
      <w:pPr>
        <w:pStyle w:val="2"/>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2F8DCE29">
      <w:pPr>
        <w:keepNext w:val="0"/>
        <w:keepLines w:val="0"/>
        <w:pageBreakBefore w:val="0"/>
        <w:widowControl/>
        <w:tabs>
          <w:tab w:val="left" w:pos="0"/>
        </w:tabs>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14:paraId="1E48D9F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14:paraId="45C112F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14:paraId="7A6823E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14:paraId="7D5AE07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w:t>
      </w:r>
      <w:r>
        <w:rPr>
          <w:rFonts w:hint="eastAsia" w:ascii="仿宋_GB2312" w:hAnsi="仿宋_GB2312" w:eastAsia="仿宋_GB2312" w:cs="仿宋_GB2312"/>
          <w:color w:val="auto"/>
          <w:sz w:val="28"/>
          <w:szCs w:val="28"/>
          <w:lang w:val="en-US" w:eastAsia="zh-Hans"/>
        </w:rPr>
        <w:t>合同总价款</w:t>
      </w:r>
      <w:r>
        <w:rPr>
          <w:rFonts w:hint="eastAsia" w:ascii="仿宋_GB2312" w:hAnsi="仿宋_GB2312" w:eastAsia="仿宋_GB2312" w:cs="仿宋_GB2312"/>
          <w:color w:val="auto"/>
          <w:sz w:val="28"/>
          <w:szCs w:val="28"/>
          <w:lang w:val="zh-CN"/>
        </w:rPr>
        <w:t>中，不再另行增加。任何因忽视或误解工地及周边施工环境情况而导致的索赔或工期延长申请将不获批准。</w:t>
      </w:r>
    </w:p>
    <w:p w14:paraId="39F65409">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14:paraId="18DD416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14:paraId="4FFA1D9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lang w:val="zh-CN"/>
        </w:rPr>
        <w:t>。</w:t>
      </w:r>
    </w:p>
    <w:p w14:paraId="6763046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14:paraId="680DA2DA">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14:paraId="007A971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Hans"/>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61703FA2">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14:paraId="5A98C88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2C0F892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14:paraId="7FD7356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18C9003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14:paraId="2F1D068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14:paraId="0FD61AB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282BA3B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14:paraId="7986037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14:paraId="5975E46E">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14:paraId="4FD647D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14:paraId="221CAFC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14:paraId="3F842BF6">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14:paraId="5CA6D9E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14:paraId="7FE8C365">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w:t>
      </w:r>
      <w:r>
        <w:rPr>
          <w:rFonts w:hint="eastAsia" w:ascii="仿宋_GB2312" w:hAnsi="仿宋_GB2312" w:eastAsia="仿宋_GB2312" w:cs="仿宋_GB2312"/>
          <w:color w:val="auto"/>
          <w:sz w:val="28"/>
          <w:szCs w:val="28"/>
          <w:lang w:val="zh-CN"/>
        </w:rPr>
        <w:t>处罚，</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14:paraId="749F56B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754A71E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14:paraId="24AF841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14:paraId="3D652E9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14:paraId="7ACD1252">
      <w:pPr>
        <w:keepNext w:val="0"/>
        <w:keepLines w:val="0"/>
        <w:pageBreakBefore w:val="0"/>
        <w:widowControl/>
        <w:kinsoku/>
        <w:wordWrap/>
        <w:overflowPunct/>
        <w:topLinePunct w:val="0"/>
        <w:bidi w:val="0"/>
        <w:snapToGrid/>
        <w:spacing w:line="56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14:paraId="03C9E74E">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14:paraId="2C01A2D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14:paraId="0848CD69">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14:paraId="4D78EF99">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14:paraId="79E0941E">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14:paraId="62980BC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w:t>
      </w:r>
      <w:r>
        <w:rPr>
          <w:rFonts w:hint="eastAsia" w:ascii="仿宋_GB2312" w:hAnsi="仿宋_GB2312" w:eastAsia="仿宋_GB2312" w:cs="仿宋_GB2312"/>
          <w:color w:val="auto"/>
          <w:sz w:val="28"/>
          <w:szCs w:val="28"/>
          <w:lang w:val="en-US" w:eastAsia="zh-Hans"/>
        </w:rPr>
        <w:t>合同签订</w:t>
      </w:r>
      <w:r>
        <w:rPr>
          <w:rFonts w:hint="eastAsia" w:ascii="仿宋_GB2312" w:hAnsi="仿宋_GB2312" w:eastAsia="仿宋_GB2312" w:cs="仿宋_GB2312"/>
          <w:color w:val="auto"/>
          <w:sz w:val="28"/>
          <w:szCs w:val="28"/>
          <w:lang w:val="en-US" w:eastAsia="zh-CN"/>
        </w:rPr>
        <w:t>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14:paraId="2F64DD9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14:paraId="3718E33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14:paraId="446D7AD8">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14:paraId="44555787">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14:paraId="6C5AC232">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14:paraId="0270789A">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14:paraId="752AE8A5">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14:paraId="3BB132AC">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14:paraId="7A180F32">
      <w:pPr>
        <w:pStyle w:val="1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 w:hAnsi="仿宋" w:eastAsia="仿宋" w:cs="仿宋"/>
          <w:color w:val="000000"/>
          <w:sz w:val="28"/>
          <w:szCs w:val="28"/>
          <w:highlight w:val="none"/>
          <w:lang w:val="en-US" w:eastAsia="zh-CN"/>
        </w:rPr>
        <w:t>运营养护管理费：合同签约养护单价*实际养护面积-其他扣款；安全应急处置费</w:t>
      </w:r>
      <w:r>
        <w:rPr>
          <w:rFonts w:hint="eastAsia" w:ascii="仿宋_GB2312" w:hAnsi="仿宋_GB2312" w:eastAsia="仿宋_GB2312" w:cs="仿宋_GB2312"/>
          <w:color w:val="auto"/>
          <w:kern w:val="2"/>
          <w:sz w:val="28"/>
          <w:szCs w:val="28"/>
          <w:lang w:val="zh-CN" w:eastAsia="zh-CN" w:bidi="ar-SA"/>
        </w:rPr>
        <w:t>业主单位确认的结算审计价*（1-</w:t>
      </w:r>
      <w:r>
        <w:rPr>
          <w:rFonts w:hint="eastAsia" w:ascii="仿宋_GB2312" w:hAnsi="仿宋_GB2312" w:eastAsia="仿宋_GB2312" w:cs="仿宋_GB2312"/>
          <w:color w:val="auto"/>
          <w:kern w:val="2"/>
          <w:sz w:val="28"/>
          <w:szCs w:val="28"/>
          <w:lang w:val="en-US" w:eastAsia="zh-CN" w:bidi="ar-SA"/>
        </w:rPr>
        <w:t>中标下浮率</w:t>
      </w:r>
      <w:r>
        <w:rPr>
          <w:rFonts w:hint="eastAsia" w:ascii="仿宋_GB2312" w:hAnsi="仿宋_GB2312" w:eastAsia="仿宋_GB2312" w:cs="仿宋_GB2312"/>
          <w:color w:val="auto"/>
          <w:kern w:val="2"/>
          <w:sz w:val="28"/>
          <w:szCs w:val="28"/>
          <w:lang w:val="zh-CN" w:eastAsia="zh-CN" w:bidi="ar-SA"/>
        </w:rPr>
        <w:t>）-其他扣款，</w:t>
      </w:r>
      <w:r>
        <w:rPr>
          <w:rFonts w:hint="eastAsia" w:ascii="仿宋_GB2312" w:hAnsi="仿宋_GB2312" w:eastAsia="仿宋_GB2312" w:cs="仿宋_GB2312"/>
          <w:color w:val="auto"/>
          <w:kern w:val="2"/>
          <w:sz w:val="28"/>
          <w:szCs w:val="28"/>
          <w:lang w:val="en-US" w:eastAsia="zh-CN" w:bidi="ar-SA"/>
        </w:rPr>
        <w:t>乙方在</w:t>
      </w:r>
      <w:r>
        <w:rPr>
          <w:rFonts w:hint="eastAsia" w:ascii="仿宋_GB2312" w:hAnsi="仿宋_GB2312" w:eastAsia="仿宋_GB2312" w:cs="仿宋_GB2312"/>
          <w:color w:val="auto"/>
          <w:kern w:val="2"/>
          <w:sz w:val="28"/>
          <w:szCs w:val="28"/>
          <w:lang w:val="zh-CN" w:eastAsia="zh-CN" w:bidi="ar-SA"/>
        </w:rPr>
        <w:t>工程款结清前提供</w:t>
      </w:r>
      <w:r>
        <w:rPr>
          <w:rFonts w:hint="eastAsia" w:ascii="仿宋_GB2312" w:hAnsi="仿宋_GB2312" w:eastAsia="仿宋_GB2312" w:cs="仿宋_GB2312"/>
          <w:color w:val="auto"/>
          <w:kern w:val="2"/>
          <w:sz w:val="28"/>
          <w:szCs w:val="28"/>
          <w:lang w:val="en-US" w:eastAsia="zh-CN" w:bidi="ar-SA"/>
        </w:rPr>
        <w:t>应付工程款足额的6%增值税税额专用发票，不足部分从应付工程款中进行扣除。</w:t>
      </w:r>
    </w:p>
    <w:p w14:paraId="5045E316">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eastAsia" w:ascii="仿宋_GB2312" w:hAnsi="仿宋_GB2312" w:eastAsia="仿宋_GB2312" w:cs="仿宋_GB2312"/>
          <w:color w:val="auto"/>
          <w:kern w:val="2"/>
          <w:sz w:val="28"/>
          <w:szCs w:val="28"/>
          <w:lang w:val="en-US" w:eastAsia="zh-CN" w:bidi="ar-SA"/>
        </w:rPr>
        <w:t>2</w:t>
      </w:r>
      <w:r>
        <w:rPr>
          <w:rFonts w:hint="default" w:ascii="仿宋_GB2312" w:hAnsi="仿宋_GB2312" w:eastAsia="仿宋_GB2312" w:cs="仿宋_GB2312"/>
          <w:color w:val="auto"/>
          <w:kern w:val="2"/>
          <w:sz w:val="28"/>
          <w:szCs w:val="28"/>
          <w:lang w:val="zh-CN" w:eastAsia="zh-CN" w:bidi="ar-SA"/>
        </w:rPr>
        <w:t>.甲供材料实际用量与业主单位确认的审计报告中用量对比超出部分，按照</w:t>
      </w:r>
      <w:r>
        <w:rPr>
          <w:rFonts w:hint="eastAsia" w:ascii="仿宋_GB2312" w:hAnsi="仿宋_GB2312" w:eastAsia="仿宋_GB2312" w:cs="仿宋_GB2312"/>
          <w:color w:val="auto"/>
          <w:kern w:val="2"/>
          <w:sz w:val="28"/>
          <w:szCs w:val="28"/>
          <w:lang w:val="zh-CN" w:eastAsia="zh-CN" w:bidi="ar-SA"/>
        </w:rPr>
        <w:t>甲方</w:t>
      </w:r>
      <w:r>
        <w:rPr>
          <w:rFonts w:hint="default" w:ascii="仿宋_GB2312" w:hAnsi="仿宋_GB2312" w:eastAsia="仿宋_GB2312" w:cs="仿宋_GB2312"/>
          <w:color w:val="auto"/>
          <w:kern w:val="2"/>
          <w:sz w:val="28"/>
          <w:szCs w:val="28"/>
          <w:lang w:val="zh-CN" w:eastAsia="zh-CN" w:bidi="ar-SA"/>
        </w:rPr>
        <w:t>实际采购价上浮8%在</w:t>
      </w:r>
      <w:r>
        <w:rPr>
          <w:rFonts w:hint="eastAsia" w:ascii="仿宋_GB2312" w:hAnsi="仿宋_GB2312" w:eastAsia="仿宋_GB2312" w:cs="仿宋_GB2312"/>
          <w:color w:val="auto"/>
          <w:kern w:val="2"/>
          <w:sz w:val="28"/>
          <w:szCs w:val="28"/>
          <w:lang w:val="zh-CN" w:eastAsia="zh-CN" w:bidi="ar-SA"/>
        </w:rPr>
        <w:t>乙方</w:t>
      </w:r>
      <w:r>
        <w:rPr>
          <w:rFonts w:hint="default" w:ascii="仿宋_GB2312" w:hAnsi="仿宋_GB2312" w:eastAsia="仿宋_GB2312" w:cs="仿宋_GB2312"/>
          <w:color w:val="auto"/>
          <w:kern w:val="2"/>
          <w:sz w:val="28"/>
          <w:szCs w:val="28"/>
          <w:lang w:val="zh-CN" w:eastAsia="zh-CN" w:bidi="ar-SA"/>
        </w:rPr>
        <w:t>工程款中直接扣除。</w:t>
      </w:r>
    </w:p>
    <w:p w14:paraId="70F0F285">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eastAsia" w:ascii="仿宋_GB2312" w:hAnsi="仿宋_GB2312" w:eastAsia="仿宋_GB2312" w:cs="仿宋_GB2312"/>
          <w:color w:val="auto"/>
          <w:kern w:val="2"/>
          <w:sz w:val="28"/>
          <w:szCs w:val="28"/>
          <w:lang w:val="en-US" w:eastAsia="zh-CN" w:bidi="ar-SA"/>
        </w:rPr>
        <w:t>3.按照甲方与业主单位签订合同的约定、工程业主单位的其他规定，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14:paraId="50DEB02F">
      <w:pPr>
        <w:keepNext w:val="0"/>
        <w:keepLines w:val="0"/>
        <w:pageBreakBefore w:val="0"/>
        <w:widowControl/>
        <w:kinsoku/>
        <w:wordWrap/>
        <w:overflowPunct/>
        <w:topLinePunct w:val="0"/>
        <w:bidi w:val="0"/>
        <w:snapToGrid/>
        <w:spacing w:line="56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kern w:val="2"/>
          <w:sz w:val="28"/>
          <w:szCs w:val="28"/>
          <w:lang w:val="en-US" w:eastAsia="zh-CN" w:bidi="ar-SA"/>
        </w:rPr>
        <w:t>4.</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14:paraId="2ABD26AB">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14:paraId="7A2D742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w:t>
      </w:r>
      <w:r>
        <w:rPr>
          <w:rFonts w:hint="eastAsia" w:ascii="仿宋_GB2312" w:hAnsi="仿宋_GB2312" w:eastAsia="仿宋_GB2312" w:cs="仿宋_GB2312"/>
          <w:color w:val="auto"/>
          <w:sz w:val="28"/>
          <w:szCs w:val="28"/>
          <w:lang w:val="en-US" w:eastAsia="zh-Hans"/>
        </w:rPr>
        <w:t>无故</w:t>
      </w:r>
      <w:r>
        <w:rPr>
          <w:rFonts w:hint="eastAsia" w:ascii="仿宋_GB2312" w:hAnsi="仿宋_GB2312" w:eastAsia="仿宋_GB2312" w:cs="仿宋_GB2312"/>
          <w:color w:val="auto"/>
          <w:sz w:val="28"/>
          <w:szCs w:val="28"/>
          <w:lang w:val="zh-CN"/>
        </w:rPr>
        <w:t>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14:paraId="3E05781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14:paraId="4F911D7C">
      <w:pPr>
        <w:keepNext w:val="0"/>
        <w:keepLines w:val="0"/>
        <w:pageBreakBefore w:val="0"/>
        <w:widowControl/>
        <w:kinsoku/>
        <w:wordWrap/>
        <w:overflowPunct/>
        <w:topLinePunct w:val="0"/>
        <w:autoSpaceDE w:val="0"/>
        <w:autoSpaceDN w:val="0"/>
        <w:bidi w:val="0"/>
        <w:snapToGrid/>
        <w:spacing w:line="56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14:paraId="14B85C2E">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14:paraId="3763771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14:paraId="17D0637E">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14:paraId="37A06B3D">
      <w:pPr>
        <w:keepNext w:val="0"/>
        <w:keepLines w:val="0"/>
        <w:pageBreakBefore w:val="0"/>
        <w:widowControl/>
        <w:kinsoku/>
        <w:wordWrap/>
        <w:overflowPunct/>
        <w:topLinePunct w:val="0"/>
        <w:bidi w:val="0"/>
        <w:snapToGrid/>
        <w:spacing w:line="560" w:lineRule="exact"/>
        <w:ind w:left="0" w:firstLine="560" w:firstLineChars="200"/>
        <w:textAlignment w:val="auto"/>
        <w:rPr>
          <w:rFonts w:hint="default" w:eastAsia="仿宋_GB2312"/>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未按照国家规定的技术规范和操作规程进行项目运营养护管理的，或者虽已按规定进行运营养护管理但不能达到本合同约定的技术要求或运维标准的，或者乙方违反了本合同约定的其他义务的，甲方将向乙方发出书面通知要求其改正，乙方未在规定期限内予以改正的，乙方应向甲方支付【10】万元违约金并赔偿甲方全部损失</w:t>
      </w:r>
      <w:r>
        <w:rPr>
          <w:rFonts w:hint="eastAsia" w:ascii="仿宋_GB2312" w:hAnsi="仿宋_GB2312" w:eastAsia="仿宋_GB2312" w:cs="仿宋_GB2312"/>
          <w:color w:val="auto"/>
          <w:sz w:val="28"/>
          <w:szCs w:val="28"/>
          <w:lang w:val="zh-CN" w:eastAsia="zh-Hans"/>
        </w:rPr>
        <w:t>，</w:t>
      </w:r>
      <w:r>
        <w:rPr>
          <w:rFonts w:hint="eastAsia" w:ascii="仿宋_GB2312" w:hAnsi="仿宋_GB2312" w:eastAsia="仿宋_GB2312" w:cs="仿宋_GB2312"/>
          <w:color w:val="auto"/>
          <w:sz w:val="28"/>
          <w:szCs w:val="28"/>
          <w:lang w:val="en-US" w:eastAsia="zh-Hans"/>
        </w:rPr>
        <w:t>且甲方有权解除合同</w:t>
      </w:r>
      <w:r>
        <w:rPr>
          <w:rFonts w:hint="eastAsia" w:ascii="仿宋_GB2312" w:hAnsi="仿宋_GB2312" w:eastAsia="仿宋_GB2312" w:cs="仿宋_GB2312"/>
          <w:color w:val="auto"/>
          <w:sz w:val="28"/>
          <w:szCs w:val="28"/>
          <w:lang w:val="zh-CN"/>
        </w:rPr>
        <w:t>。</w:t>
      </w:r>
    </w:p>
    <w:p w14:paraId="0528FEAE">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Theme="minorEastAsia" w:hAnsiTheme="minorEastAsia" w:eastAsiaTheme="minorEastAsia" w:cstheme="minorEastAsia"/>
          <w:szCs w:val="24"/>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绩效考核</w:t>
      </w:r>
    </w:p>
    <w:p w14:paraId="079011FC">
      <w:pPr>
        <w:pStyle w:val="14"/>
        <w:adjustRightInd w:val="0"/>
        <w:snapToGrid w:val="0"/>
        <w:spacing w:beforeAutospacing="0" w:afterAutospacing="0" w:line="560" w:lineRule="exact"/>
        <w:ind w:firstLine="560" w:firstLineChars="200"/>
        <w:rPr>
          <w:rFonts w:hint="eastAsia" w:ascii="仿宋_GB2312" w:hAnsi="仿宋_GB2312" w:eastAsia="仿宋_GB2312" w:cs="仿宋_GB2312"/>
          <w:color w:val="auto"/>
          <w:kern w:val="2"/>
          <w:sz w:val="28"/>
          <w:szCs w:val="28"/>
          <w:lang w:val="zh-CN" w:eastAsia="zh-CN" w:bidi="ar-SA"/>
        </w:rPr>
      </w:pPr>
      <w:r>
        <w:rPr>
          <w:rFonts w:hint="eastAsia" w:ascii="仿宋_GB2312" w:hAnsi="仿宋_GB2312" w:eastAsia="仿宋_GB2312" w:cs="仿宋_GB2312"/>
          <w:color w:val="auto"/>
          <w:kern w:val="2"/>
          <w:sz w:val="28"/>
          <w:szCs w:val="28"/>
          <w:lang w:val="zh-CN" w:eastAsia="zh-CN" w:bidi="ar-SA"/>
        </w:rPr>
        <w:t>1.运营养护管理服务期内，甲方组织对乙方提供的项目运营养护管理服务按照附件一确定的考核指标体系进行考核评价。</w:t>
      </w:r>
    </w:p>
    <w:p w14:paraId="10EA58F1">
      <w:pPr>
        <w:pStyle w:val="14"/>
        <w:adjustRightInd w:val="0"/>
        <w:snapToGrid w:val="0"/>
        <w:spacing w:beforeAutospacing="0" w:afterAutospacing="0" w:line="560" w:lineRule="exact"/>
        <w:ind w:firstLine="560" w:firstLineChars="200"/>
        <w:rPr>
          <w:rFonts w:hint="eastAsia" w:ascii="仿宋_GB2312" w:hAnsi="仿宋_GB2312" w:eastAsia="仿宋_GB2312" w:cs="仿宋_GB2312"/>
          <w:color w:val="auto"/>
          <w:kern w:val="2"/>
          <w:sz w:val="28"/>
          <w:szCs w:val="28"/>
          <w:lang w:val="zh-CN" w:eastAsia="zh-CN" w:bidi="ar-SA"/>
        </w:rPr>
      </w:pPr>
      <w:r>
        <w:rPr>
          <w:rFonts w:hint="eastAsia" w:ascii="仿宋_GB2312" w:hAnsi="仿宋_GB2312" w:eastAsia="仿宋_GB2312" w:cs="仿宋_GB2312"/>
          <w:color w:val="auto"/>
          <w:kern w:val="2"/>
          <w:sz w:val="28"/>
          <w:szCs w:val="28"/>
          <w:lang w:val="zh-CN" w:eastAsia="zh-CN" w:bidi="ar-SA"/>
        </w:rPr>
        <w:t>2.运营养护管理服务期考核采取季度考核、年度综合的方式进行，形成全流程闭环管理。运营周年第四季度考核与年度综合考评一并进行。年度综合考核原则上安排在每年的11月，季度考核甲方至少提前2个工作日通知乙方。</w:t>
      </w:r>
    </w:p>
    <w:p w14:paraId="5CEE1EB1">
      <w:pPr>
        <w:pStyle w:val="14"/>
        <w:adjustRightInd w:val="0"/>
        <w:snapToGrid w:val="0"/>
        <w:spacing w:beforeAutospacing="0" w:afterAutospacing="0" w:line="560" w:lineRule="exact"/>
        <w:ind w:firstLine="560" w:firstLineChars="200"/>
        <w:rPr>
          <w:rFonts w:hint="eastAsia" w:ascii="仿宋_GB2312" w:hAnsi="仿宋_GB2312" w:eastAsia="仿宋_GB2312" w:cs="仿宋_GB2312"/>
          <w:color w:val="auto"/>
          <w:kern w:val="2"/>
          <w:sz w:val="28"/>
          <w:szCs w:val="28"/>
          <w:lang w:val="zh-CN" w:eastAsia="zh-CN" w:bidi="ar-SA"/>
        </w:rPr>
      </w:pPr>
      <w:r>
        <w:rPr>
          <w:rFonts w:hint="eastAsia" w:ascii="仿宋_GB2312" w:hAnsi="仿宋_GB2312" w:eastAsia="仿宋_GB2312" w:cs="仿宋_GB2312"/>
          <w:color w:val="auto"/>
          <w:kern w:val="2"/>
          <w:sz w:val="28"/>
          <w:szCs w:val="28"/>
          <w:lang w:val="zh-CN" w:eastAsia="zh-CN" w:bidi="ar-SA"/>
        </w:rPr>
        <w:t>3.甲方在季度考核监管之外，在日常管理中仍可对乙方的运营工作，进行不定期检查、巡查，对有关问题书面通知乙方及时整改。</w:t>
      </w:r>
    </w:p>
    <w:p w14:paraId="1AC15DD5">
      <w:pPr>
        <w:pStyle w:val="14"/>
        <w:adjustRightInd w:val="0"/>
        <w:snapToGrid w:val="0"/>
        <w:spacing w:beforeAutospacing="0" w:afterAutospacing="0" w:line="560" w:lineRule="exact"/>
        <w:ind w:firstLine="560" w:firstLineChars="200"/>
        <w:rPr>
          <w:rFonts w:hint="eastAsia" w:ascii="仿宋_GB2312" w:hAnsi="仿宋_GB2312" w:eastAsia="仿宋_GB2312" w:cs="仿宋_GB2312"/>
          <w:color w:val="auto"/>
          <w:kern w:val="2"/>
          <w:sz w:val="28"/>
          <w:szCs w:val="28"/>
          <w:lang w:val="zh-CN" w:eastAsia="zh-CN" w:bidi="ar-SA"/>
        </w:rPr>
      </w:pPr>
      <w:r>
        <w:rPr>
          <w:rFonts w:hint="eastAsia" w:ascii="仿宋_GB2312" w:hAnsi="仿宋_GB2312" w:eastAsia="仿宋_GB2312" w:cs="仿宋_GB2312"/>
          <w:color w:val="auto"/>
          <w:kern w:val="2"/>
          <w:sz w:val="28"/>
          <w:szCs w:val="28"/>
          <w:lang w:val="zh-CN" w:eastAsia="zh-CN" w:bidi="ar-SA"/>
        </w:rPr>
        <w:t>4.评价指标项目以现场检查调研实施的，采用抽样检查方式进行，季度考核以随机或年度原则不重复条件下随机抽取湖漾5个、骨干河道1条开展检查评价。抽检的湖漾、河道形成对应子项独立评分表，并以算术平均得分作为对应考核指标项的得分，再结合项目管理等有关指标项评价赋分得出季度考核评分结果。</w:t>
      </w:r>
    </w:p>
    <w:p w14:paraId="0F9572DD">
      <w:pPr>
        <w:pStyle w:val="14"/>
        <w:adjustRightInd w:val="0"/>
        <w:snapToGrid w:val="0"/>
        <w:spacing w:beforeAutospacing="0" w:afterAutospacing="0" w:line="560" w:lineRule="exact"/>
        <w:ind w:firstLine="560" w:firstLineChars="200"/>
        <w:rPr>
          <w:rFonts w:hint="eastAsia" w:ascii="仿宋_GB2312" w:hAnsi="仿宋_GB2312" w:eastAsia="仿宋_GB2312" w:cs="仿宋_GB2312"/>
          <w:color w:val="auto"/>
          <w:kern w:val="2"/>
          <w:sz w:val="28"/>
          <w:szCs w:val="28"/>
          <w:lang w:val="zh-CN" w:eastAsia="zh-CN" w:bidi="ar-SA"/>
        </w:rPr>
      </w:pPr>
      <w:r>
        <w:rPr>
          <w:rFonts w:hint="eastAsia" w:ascii="仿宋_GB2312" w:hAnsi="仿宋_GB2312" w:eastAsia="仿宋_GB2312" w:cs="仿宋_GB2312"/>
          <w:color w:val="auto"/>
          <w:kern w:val="2"/>
          <w:sz w:val="28"/>
          <w:szCs w:val="28"/>
          <w:lang w:val="zh-CN" w:eastAsia="zh-CN" w:bidi="ar-SA"/>
        </w:rPr>
        <w:t>5.季度或年度考核得分低于80分时，甲方给予乙方一次整改机会，乙方应在收到甲方书面整改通知之日起1个月内完成整改，整改后甲方重新进行考核并确定最终考核结果。</w:t>
      </w:r>
    </w:p>
    <w:p w14:paraId="66C66226">
      <w:pPr>
        <w:pStyle w:val="14"/>
        <w:adjustRightInd w:val="0"/>
        <w:snapToGrid w:val="0"/>
        <w:spacing w:beforeAutospacing="0" w:afterAutospacing="0" w:line="560" w:lineRule="exact"/>
        <w:ind w:firstLine="560" w:firstLineChars="200"/>
        <w:rPr>
          <w:rFonts w:hint="eastAsia" w:ascii="仿宋_GB2312" w:hAnsi="仿宋_GB2312" w:eastAsia="仿宋_GB2312" w:cs="仿宋_GB2312"/>
          <w:color w:val="auto"/>
          <w:kern w:val="2"/>
          <w:sz w:val="28"/>
          <w:szCs w:val="28"/>
          <w:lang w:val="zh-CN" w:eastAsia="zh-CN" w:bidi="ar-SA"/>
        </w:rPr>
      </w:pPr>
      <w:r>
        <w:rPr>
          <w:rFonts w:hint="eastAsia" w:ascii="仿宋_GB2312" w:hAnsi="仿宋_GB2312" w:eastAsia="仿宋_GB2312" w:cs="仿宋_GB2312"/>
          <w:color w:val="auto"/>
          <w:kern w:val="2"/>
          <w:sz w:val="28"/>
          <w:szCs w:val="28"/>
          <w:lang w:val="zh-CN" w:eastAsia="zh-CN" w:bidi="ar-SA"/>
        </w:rPr>
        <w:t>6.运营养护管理期年度综合考评以四个季度考核成绩的算术平均得分形成年度考核得分，并综合形成年度绩效评价报告。</w:t>
      </w:r>
    </w:p>
    <w:p w14:paraId="4A0DFEC9">
      <w:pPr>
        <w:pStyle w:val="14"/>
        <w:adjustRightInd w:val="0"/>
        <w:snapToGrid w:val="0"/>
        <w:spacing w:beforeAutospacing="0" w:afterAutospacing="0" w:line="560" w:lineRule="exact"/>
        <w:ind w:firstLine="560" w:firstLineChars="200"/>
        <w:rPr>
          <w:rFonts w:hint="eastAsia" w:ascii="仿宋_GB2312" w:hAnsi="仿宋_GB2312" w:eastAsia="仿宋_GB2312" w:cs="仿宋_GB2312"/>
          <w:color w:val="auto"/>
          <w:kern w:val="2"/>
          <w:sz w:val="28"/>
          <w:szCs w:val="28"/>
          <w:lang w:val="zh-CN" w:eastAsia="zh-CN" w:bidi="ar-SA"/>
        </w:rPr>
      </w:pPr>
      <w:r>
        <w:rPr>
          <w:rFonts w:hint="eastAsia" w:ascii="仿宋_GB2312" w:hAnsi="仿宋_GB2312" w:eastAsia="仿宋_GB2312" w:cs="仿宋_GB2312"/>
          <w:color w:val="auto"/>
          <w:kern w:val="2"/>
          <w:sz w:val="28"/>
          <w:szCs w:val="28"/>
          <w:lang w:val="zh-CN" w:eastAsia="zh-CN" w:bidi="ar-SA"/>
        </w:rPr>
        <w:t>7.在运营养护管理服务期间，季度或年度考核结果低于80分的给予1次警告并处违约金人民币20万元，且乙方应按甲方要求在1个月内完成整改，整改后甲方重新进行考核，如考核结果仍低于80分的，甲方有权要求乙方赔偿甲方全部损失，甲方有权在运营养护管理服务费中扣除。</w:t>
      </w:r>
    </w:p>
    <w:p w14:paraId="72AD6BE1">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14:paraId="0217394E">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14:paraId="795B6E4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诉讼费、律师费、财产保全费、因财产保全向保险公司购买保单的保险费等均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14:paraId="4BEF81F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w:t>
      </w:r>
      <w:r>
        <w:rPr>
          <w:rFonts w:hint="eastAsia" w:ascii="仿宋_GB2312" w:hAnsi="仿宋_GB2312" w:eastAsia="仿宋_GB2312" w:cs="仿宋_GB2312"/>
          <w:color w:val="auto"/>
          <w:sz w:val="28"/>
          <w:szCs w:val="28"/>
          <w:lang w:val="en-US" w:eastAsia="zh-CN"/>
        </w:rPr>
        <w:t>诉讼</w:t>
      </w:r>
      <w:r>
        <w:rPr>
          <w:rFonts w:hint="eastAsia" w:ascii="仿宋_GB2312" w:hAnsi="仿宋_GB2312" w:eastAsia="仿宋_GB2312" w:cs="仿宋_GB2312"/>
          <w:color w:val="auto"/>
          <w:sz w:val="28"/>
          <w:szCs w:val="28"/>
          <w:lang w:val="zh-CN"/>
        </w:rPr>
        <w:t>过程中，双方应执行争议部分之外的其他合同条款。</w:t>
      </w:r>
    </w:p>
    <w:p w14:paraId="06B60025">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14:paraId="57099BC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14:paraId="2BAD250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14:paraId="2138B653">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14:paraId="134000F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14:paraId="73C1280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339772A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7275CD67">
      <w:pPr>
        <w:pStyle w:val="2"/>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14:paraId="4ADD023D">
      <w:pPr>
        <w:pStyle w:val="2"/>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14:paraId="6E4F181A">
      <w:pPr>
        <w:pStyle w:val="2"/>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p w14:paraId="4E1E6B22">
      <w:pPr>
        <w:shd w:val="clear"/>
        <w:rPr>
          <w:highlight w:val="none"/>
        </w:rPr>
      </w:pPr>
    </w:p>
    <w:p w14:paraId="67CFF053">
      <w:pPr>
        <w:shd w:val="clear"/>
        <w:rPr>
          <w:highlight w:val="none"/>
        </w:rPr>
      </w:pPr>
    </w:p>
    <w:p w14:paraId="35338DC7">
      <w:pPr>
        <w:pStyle w:val="2"/>
        <w:keepNext w:val="0"/>
        <w:keepLines w:val="0"/>
        <w:pageBreakBefore w:val="0"/>
        <w:widowControl/>
        <w:shd w:val="clear"/>
        <w:kinsoku/>
        <w:wordWrap/>
        <w:overflowPunct/>
        <w:topLinePunct w:val="0"/>
        <w:autoSpaceDE/>
        <w:autoSpaceDN/>
        <w:bidi w:val="0"/>
        <w:adjustRightInd/>
        <w:snapToGrid/>
        <w:spacing w:after="0" w:afterLines="0" w:line="540" w:lineRule="exact"/>
        <w:ind w:left="0" w:leftChars="0" w:firstLine="0" w:firstLineChars="0"/>
        <w:jc w:val="both"/>
        <w:textAlignment w:val="auto"/>
        <w:rPr>
          <w:rFonts w:hint="eastAsia" w:ascii="仿宋_GB2312" w:hAnsi="仿宋_GB2312" w:eastAsia="仿宋_GB2312" w:cs="仿宋_GB2312"/>
          <w:color w:val="auto"/>
          <w:sz w:val="28"/>
          <w:szCs w:val="28"/>
          <w:lang w:val="en-US" w:eastAsia="zh-CN"/>
        </w:rPr>
        <w:sectPr>
          <w:pgSz w:w="11906" w:h="16838"/>
          <w:pgMar w:top="1440" w:right="1179" w:bottom="1440" w:left="1179" w:header="851" w:footer="992" w:gutter="0"/>
          <w:pgBorders>
            <w:top w:val="none" w:sz="0" w:space="0"/>
            <w:left w:val="none" w:sz="0" w:space="0"/>
            <w:bottom w:val="none" w:sz="0" w:space="0"/>
            <w:right w:val="none" w:sz="0" w:space="0"/>
          </w:pgBorders>
          <w:pgNumType w:fmt="numberInDash"/>
          <w:cols w:space="720" w:num="1"/>
          <w:rtlGutter w:val="0"/>
          <w:docGrid w:type="lines" w:linePitch="315" w:charSpace="0"/>
        </w:sectPr>
      </w:pPr>
      <w:r>
        <w:rPr>
          <w:rFonts w:cs="Arial"/>
          <w:sz w:val="28"/>
        </w:rPr>
        <w:br w:type="page"/>
      </w:r>
    </w:p>
    <w:p w14:paraId="128C6D8D">
      <w:pPr>
        <w:spacing w:line="360" w:lineRule="auto"/>
        <w:rPr>
          <w:sz w:val="22"/>
          <w:szCs w:val="22"/>
        </w:rPr>
      </w:pPr>
      <w:r>
        <w:rPr>
          <w:sz w:val="22"/>
          <w:szCs w:val="22"/>
        </w:rPr>
        <w:t>附件</w:t>
      </w:r>
      <w:bookmarkStart w:id="90" w:name="OLE_LINK43"/>
      <w:r>
        <w:rPr>
          <w:sz w:val="22"/>
          <w:szCs w:val="22"/>
        </w:rPr>
        <w:t>一</w:t>
      </w:r>
      <w:bookmarkEnd w:id="90"/>
      <w:r>
        <w:rPr>
          <w:rFonts w:hint="eastAsia"/>
          <w:sz w:val="22"/>
          <w:szCs w:val="22"/>
        </w:rPr>
        <w:t xml:space="preserve"> </w:t>
      </w:r>
    </w:p>
    <w:p w14:paraId="30536C93">
      <w:pPr>
        <w:pStyle w:val="2"/>
        <w:ind w:firstLine="0"/>
        <w:jc w:val="center"/>
        <w:outlineLvl w:val="1"/>
        <w:rPr>
          <w:rFonts w:hAnsi="宋体"/>
          <w:b/>
          <w:color w:val="000000"/>
          <w:kern w:val="0"/>
          <w:sz w:val="28"/>
          <w:szCs w:val="36"/>
        </w:rPr>
      </w:pPr>
      <w:r>
        <w:rPr>
          <w:rFonts w:hint="eastAsia" w:hAnsi="宋体"/>
          <w:b/>
          <w:color w:val="000000"/>
          <w:kern w:val="0"/>
          <w:sz w:val="28"/>
          <w:szCs w:val="36"/>
        </w:rPr>
        <w:t>湖州市南浔区“百漾千河”综合治理PPP项目运营养护管理绩效考核体系</w:t>
      </w:r>
    </w:p>
    <w:tbl>
      <w:tblPr>
        <w:tblStyle w:val="16"/>
        <w:tblW w:w="1425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9"/>
        <w:gridCol w:w="1335"/>
        <w:gridCol w:w="1560"/>
        <w:gridCol w:w="708"/>
        <w:gridCol w:w="1358"/>
        <w:gridCol w:w="7453"/>
      </w:tblGrid>
      <w:tr w14:paraId="19DB5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blHeader/>
        </w:trPr>
        <w:tc>
          <w:tcPr>
            <w:tcW w:w="704" w:type="dxa"/>
            <w:shd w:val="clear" w:color="auto" w:fill="D6DCE4" w:themeFill="text2" w:themeFillTint="33"/>
            <w:noWrap/>
            <w:vAlign w:val="center"/>
          </w:tcPr>
          <w:p w14:paraId="0B791FA5">
            <w:pPr>
              <w:widowControl/>
              <w:jc w:val="center"/>
              <w:rPr>
                <w:color w:val="000000"/>
                <w:kern w:val="0"/>
                <w:sz w:val="22"/>
                <w:szCs w:val="22"/>
              </w:rPr>
            </w:pPr>
            <w:r>
              <w:rPr>
                <w:rFonts w:hint="eastAsia" w:ascii="宋体" w:hAnsi="宋体"/>
                <w:color w:val="000000"/>
                <w:kern w:val="0"/>
                <w:sz w:val="22"/>
                <w:szCs w:val="22"/>
              </w:rPr>
              <w:t>序号</w:t>
            </w:r>
          </w:p>
        </w:tc>
        <w:tc>
          <w:tcPr>
            <w:tcW w:w="1139" w:type="dxa"/>
            <w:shd w:val="clear" w:color="auto" w:fill="D6DCE4" w:themeFill="text2" w:themeFillTint="33"/>
            <w:noWrap/>
            <w:vAlign w:val="center"/>
          </w:tcPr>
          <w:p w14:paraId="40BFA10F">
            <w:pPr>
              <w:widowControl/>
              <w:jc w:val="center"/>
              <w:rPr>
                <w:color w:val="000000"/>
                <w:kern w:val="0"/>
                <w:sz w:val="22"/>
                <w:szCs w:val="22"/>
              </w:rPr>
            </w:pPr>
            <w:r>
              <w:rPr>
                <w:rFonts w:hint="eastAsia" w:ascii="宋体" w:hAnsi="宋体"/>
                <w:color w:val="000000"/>
                <w:kern w:val="0"/>
                <w:sz w:val="22"/>
                <w:szCs w:val="22"/>
              </w:rPr>
              <w:t>一级指标</w:t>
            </w:r>
          </w:p>
        </w:tc>
        <w:tc>
          <w:tcPr>
            <w:tcW w:w="1335" w:type="dxa"/>
            <w:shd w:val="clear" w:color="auto" w:fill="D6DCE4" w:themeFill="text2" w:themeFillTint="33"/>
            <w:noWrap/>
            <w:vAlign w:val="center"/>
          </w:tcPr>
          <w:p w14:paraId="1292850F">
            <w:pPr>
              <w:widowControl/>
              <w:jc w:val="center"/>
              <w:rPr>
                <w:color w:val="000000"/>
                <w:kern w:val="0"/>
                <w:sz w:val="22"/>
                <w:szCs w:val="22"/>
              </w:rPr>
            </w:pPr>
            <w:r>
              <w:rPr>
                <w:rFonts w:hint="eastAsia" w:ascii="宋体" w:hAnsi="宋体"/>
                <w:color w:val="000000"/>
                <w:kern w:val="0"/>
                <w:sz w:val="22"/>
                <w:szCs w:val="22"/>
              </w:rPr>
              <w:t>二级指标</w:t>
            </w:r>
          </w:p>
        </w:tc>
        <w:tc>
          <w:tcPr>
            <w:tcW w:w="1560" w:type="dxa"/>
            <w:shd w:val="clear" w:color="auto" w:fill="D6DCE4" w:themeFill="text2" w:themeFillTint="33"/>
            <w:vAlign w:val="center"/>
          </w:tcPr>
          <w:p w14:paraId="1A07444D">
            <w:pPr>
              <w:widowControl/>
              <w:jc w:val="center"/>
              <w:rPr>
                <w:color w:val="000000"/>
                <w:kern w:val="0"/>
                <w:sz w:val="22"/>
                <w:szCs w:val="22"/>
              </w:rPr>
            </w:pPr>
            <w:r>
              <w:rPr>
                <w:rFonts w:hint="eastAsia" w:ascii="宋体" w:hAnsi="宋体"/>
                <w:color w:val="000000"/>
                <w:kern w:val="0"/>
                <w:sz w:val="22"/>
                <w:szCs w:val="22"/>
              </w:rPr>
              <w:t>三级指标</w:t>
            </w:r>
          </w:p>
        </w:tc>
        <w:tc>
          <w:tcPr>
            <w:tcW w:w="708" w:type="dxa"/>
            <w:shd w:val="clear" w:color="auto" w:fill="D6DCE4" w:themeFill="text2" w:themeFillTint="33"/>
            <w:noWrap/>
            <w:vAlign w:val="center"/>
          </w:tcPr>
          <w:p w14:paraId="23D40C20">
            <w:pPr>
              <w:widowControl/>
              <w:jc w:val="center"/>
              <w:rPr>
                <w:color w:val="000000"/>
                <w:kern w:val="0"/>
                <w:sz w:val="22"/>
                <w:szCs w:val="22"/>
              </w:rPr>
            </w:pPr>
            <w:r>
              <w:rPr>
                <w:rFonts w:hint="eastAsia" w:ascii="宋体" w:hAnsi="宋体"/>
                <w:color w:val="000000"/>
                <w:kern w:val="0"/>
                <w:sz w:val="22"/>
                <w:szCs w:val="22"/>
              </w:rPr>
              <w:t>权重</w:t>
            </w:r>
          </w:p>
        </w:tc>
        <w:tc>
          <w:tcPr>
            <w:tcW w:w="1358" w:type="dxa"/>
            <w:shd w:val="clear" w:color="auto" w:fill="D6DCE4" w:themeFill="text2" w:themeFillTint="33"/>
            <w:noWrap/>
            <w:vAlign w:val="center"/>
          </w:tcPr>
          <w:p w14:paraId="18E1EC69">
            <w:pPr>
              <w:widowControl/>
              <w:jc w:val="center"/>
              <w:rPr>
                <w:color w:val="000000"/>
                <w:kern w:val="0"/>
                <w:sz w:val="22"/>
                <w:szCs w:val="22"/>
              </w:rPr>
            </w:pPr>
            <w:r>
              <w:rPr>
                <w:rFonts w:hint="eastAsia" w:ascii="宋体" w:hAnsi="宋体"/>
                <w:color w:val="000000"/>
                <w:kern w:val="0"/>
                <w:sz w:val="22"/>
                <w:szCs w:val="22"/>
              </w:rPr>
              <w:t>数据来源</w:t>
            </w:r>
          </w:p>
        </w:tc>
        <w:tc>
          <w:tcPr>
            <w:tcW w:w="7453" w:type="dxa"/>
            <w:shd w:val="clear" w:color="auto" w:fill="D6DCE4" w:themeFill="text2" w:themeFillTint="33"/>
            <w:noWrap/>
            <w:vAlign w:val="center"/>
          </w:tcPr>
          <w:p w14:paraId="2E37483F">
            <w:pPr>
              <w:widowControl/>
              <w:jc w:val="center"/>
              <w:rPr>
                <w:color w:val="000000"/>
                <w:kern w:val="0"/>
                <w:sz w:val="22"/>
                <w:szCs w:val="22"/>
              </w:rPr>
            </w:pPr>
            <w:r>
              <w:rPr>
                <w:rFonts w:hint="eastAsia" w:ascii="宋体" w:hAnsi="宋体"/>
                <w:color w:val="000000"/>
                <w:kern w:val="0"/>
                <w:sz w:val="22"/>
                <w:szCs w:val="22"/>
              </w:rPr>
              <w:t>评分标准与评分方法</w:t>
            </w:r>
          </w:p>
        </w:tc>
      </w:tr>
      <w:tr w14:paraId="410F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04" w:type="dxa"/>
            <w:shd w:val="clear" w:color="auto" w:fill="auto"/>
            <w:noWrap/>
            <w:vAlign w:val="center"/>
          </w:tcPr>
          <w:p w14:paraId="0E0D31F3">
            <w:pPr>
              <w:widowControl/>
              <w:jc w:val="center"/>
              <w:rPr>
                <w:color w:val="000000"/>
                <w:kern w:val="0"/>
                <w:sz w:val="22"/>
                <w:szCs w:val="22"/>
              </w:rPr>
            </w:pPr>
            <w:r>
              <w:rPr>
                <w:color w:val="000000"/>
                <w:kern w:val="0"/>
                <w:sz w:val="22"/>
                <w:szCs w:val="22"/>
              </w:rPr>
              <w:t>1</w:t>
            </w:r>
          </w:p>
        </w:tc>
        <w:tc>
          <w:tcPr>
            <w:tcW w:w="1139" w:type="dxa"/>
            <w:vMerge w:val="restart"/>
            <w:shd w:val="clear" w:color="auto" w:fill="auto"/>
            <w:noWrap/>
            <w:vAlign w:val="center"/>
          </w:tcPr>
          <w:p w14:paraId="2B41FB2A">
            <w:pPr>
              <w:widowControl/>
              <w:jc w:val="center"/>
              <w:rPr>
                <w:rFonts w:ascii="宋体" w:hAnsi="宋体"/>
                <w:color w:val="000000"/>
                <w:kern w:val="0"/>
                <w:sz w:val="22"/>
                <w:szCs w:val="22"/>
              </w:rPr>
            </w:pPr>
            <w:r>
              <w:rPr>
                <w:rFonts w:hint="eastAsia" w:ascii="宋体" w:hAnsi="宋体"/>
                <w:color w:val="000000"/>
                <w:kern w:val="0"/>
                <w:sz w:val="22"/>
                <w:szCs w:val="22"/>
              </w:rPr>
              <w:t>产出</w:t>
            </w:r>
          </w:p>
          <w:p w14:paraId="1D4D4377">
            <w:pPr>
              <w:widowControl/>
              <w:jc w:val="center"/>
              <w:rPr>
                <w:color w:val="000000"/>
                <w:kern w:val="0"/>
                <w:sz w:val="22"/>
                <w:szCs w:val="22"/>
              </w:rPr>
            </w:pPr>
            <w:r>
              <w:rPr>
                <w:rFonts w:hint="eastAsia" w:ascii="宋体" w:hAnsi="宋体"/>
                <w:color w:val="000000"/>
                <w:kern w:val="0"/>
                <w:sz w:val="22"/>
                <w:szCs w:val="22"/>
              </w:rPr>
              <w:t>（86分）</w:t>
            </w:r>
          </w:p>
        </w:tc>
        <w:tc>
          <w:tcPr>
            <w:tcW w:w="1335" w:type="dxa"/>
            <w:vMerge w:val="restart"/>
            <w:shd w:val="clear" w:color="auto" w:fill="auto"/>
            <w:noWrap/>
            <w:vAlign w:val="center"/>
          </w:tcPr>
          <w:p w14:paraId="3821F177">
            <w:pPr>
              <w:widowControl/>
              <w:jc w:val="center"/>
              <w:rPr>
                <w:rFonts w:ascii="宋体" w:hAnsi="宋体"/>
                <w:color w:val="000000"/>
                <w:kern w:val="0"/>
                <w:sz w:val="22"/>
                <w:szCs w:val="22"/>
              </w:rPr>
            </w:pPr>
            <w:r>
              <w:rPr>
                <w:rFonts w:hint="eastAsia" w:ascii="宋体" w:hAnsi="宋体"/>
                <w:color w:val="000000"/>
                <w:kern w:val="0"/>
                <w:sz w:val="22"/>
                <w:szCs w:val="22"/>
              </w:rPr>
              <w:t>绿化养护</w:t>
            </w:r>
          </w:p>
          <w:p w14:paraId="093935C7">
            <w:pPr>
              <w:widowControl/>
              <w:jc w:val="center"/>
              <w:rPr>
                <w:color w:val="000000"/>
                <w:kern w:val="0"/>
                <w:sz w:val="22"/>
                <w:szCs w:val="22"/>
              </w:rPr>
            </w:pPr>
            <w:r>
              <w:rPr>
                <w:rFonts w:hint="eastAsia" w:ascii="宋体" w:hAnsi="宋体"/>
                <w:color w:val="000000"/>
                <w:kern w:val="0"/>
                <w:sz w:val="22"/>
                <w:szCs w:val="22"/>
              </w:rPr>
              <w:t>（22分）</w:t>
            </w:r>
          </w:p>
        </w:tc>
        <w:tc>
          <w:tcPr>
            <w:tcW w:w="1560" w:type="dxa"/>
            <w:shd w:val="clear" w:color="auto" w:fill="auto"/>
            <w:vAlign w:val="center"/>
          </w:tcPr>
          <w:p w14:paraId="72D0DB12">
            <w:pPr>
              <w:widowControl/>
              <w:jc w:val="left"/>
              <w:rPr>
                <w:color w:val="000000"/>
                <w:kern w:val="0"/>
                <w:sz w:val="22"/>
                <w:szCs w:val="22"/>
              </w:rPr>
            </w:pPr>
            <w:r>
              <w:rPr>
                <w:rFonts w:hint="eastAsia" w:ascii="宋体" w:hAnsi="宋体"/>
                <w:color w:val="000000"/>
                <w:kern w:val="0"/>
                <w:sz w:val="22"/>
                <w:szCs w:val="22"/>
              </w:rPr>
              <w:t>树木及草皮的成活率</w:t>
            </w:r>
          </w:p>
        </w:tc>
        <w:tc>
          <w:tcPr>
            <w:tcW w:w="708" w:type="dxa"/>
            <w:shd w:val="clear" w:color="auto" w:fill="auto"/>
            <w:vAlign w:val="center"/>
          </w:tcPr>
          <w:p w14:paraId="51714231">
            <w:pPr>
              <w:widowControl/>
              <w:jc w:val="center"/>
              <w:rPr>
                <w:color w:val="000000"/>
                <w:kern w:val="0"/>
                <w:sz w:val="22"/>
                <w:szCs w:val="22"/>
              </w:rPr>
            </w:pPr>
            <w:r>
              <w:rPr>
                <w:color w:val="000000"/>
                <w:kern w:val="0"/>
                <w:sz w:val="22"/>
                <w:szCs w:val="22"/>
              </w:rPr>
              <w:t>8</w:t>
            </w:r>
          </w:p>
        </w:tc>
        <w:tc>
          <w:tcPr>
            <w:tcW w:w="1358" w:type="dxa"/>
            <w:shd w:val="clear" w:color="auto" w:fill="auto"/>
            <w:vAlign w:val="center"/>
          </w:tcPr>
          <w:p w14:paraId="01052700">
            <w:pPr>
              <w:widowControl/>
              <w:jc w:val="center"/>
              <w:rPr>
                <w:color w:val="000000"/>
                <w:kern w:val="0"/>
                <w:sz w:val="22"/>
                <w:szCs w:val="22"/>
              </w:rPr>
            </w:pPr>
            <w:r>
              <w:rPr>
                <w:rFonts w:hint="eastAsia" w:ascii="宋体" w:hAnsi="宋体"/>
                <w:color w:val="000000"/>
                <w:kern w:val="0"/>
                <w:sz w:val="22"/>
                <w:szCs w:val="22"/>
              </w:rPr>
              <w:t>实地调研</w:t>
            </w:r>
          </w:p>
        </w:tc>
        <w:tc>
          <w:tcPr>
            <w:tcW w:w="7453" w:type="dxa"/>
            <w:shd w:val="clear" w:color="auto" w:fill="auto"/>
            <w:vAlign w:val="center"/>
          </w:tcPr>
          <w:p w14:paraId="3DB5CC45">
            <w:pPr>
              <w:widowControl/>
              <w:jc w:val="left"/>
              <w:rPr>
                <w:rFonts w:ascii="宋体" w:hAnsi="宋体"/>
                <w:color w:val="000000"/>
                <w:kern w:val="0"/>
                <w:sz w:val="22"/>
                <w:szCs w:val="22"/>
              </w:rPr>
            </w:pPr>
            <w:r>
              <w:rPr>
                <w:color w:val="000000"/>
                <w:kern w:val="0"/>
                <w:sz w:val="22"/>
                <w:szCs w:val="22"/>
              </w:rPr>
              <w:t>1.</w:t>
            </w:r>
            <w:r>
              <w:rPr>
                <w:rFonts w:hint="eastAsia" w:ascii="宋体" w:hAnsi="宋体"/>
                <w:color w:val="000000"/>
                <w:kern w:val="0"/>
                <w:sz w:val="22"/>
                <w:szCs w:val="22"/>
              </w:rPr>
              <w:t>绿化生长良好，植株健康，发现乔木死亡，每</w:t>
            </w:r>
            <w:r>
              <w:rPr>
                <w:color w:val="000000"/>
                <w:kern w:val="0"/>
                <w:sz w:val="22"/>
                <w:szCs w:val="22"/>
              </w:rPr>
              <w:t>5</w:t>
            </w:r>
            <w:r>
              <w:rPr>
                <w:rFonts w:hint="eastAsia" w:ascii="宋体" w:hAnsi="宋体"/>
                <w:color w:val="000000"/>
                <w:kern w:val="0"/>
                <w:sz w:val="22"/>
                <w:szCs w:val="22"/>
              </w:rPr>
              <w:t>棵扣</w:t>
            </w:r>
            <w:r>
              <w:rPr>
                <w:color w:val="000000"/>
                <w:kern w:val="0"/>
                <w:sz w:val="22"/>
                <w:szCs w:val="22"/>
              </w:rPr>
              <w:t>0.25</w:t>
            </w:r>
            <w:r>
              <w:rPr>
                <w:rFonts w:hint="eastAsia" w:ascii="宋体" w:hAnsi="宋体"/>
                <w:color w:val="000000"/>
                <w:kern w:val="0"/>
                <w:sz w:val="22"/>
                <w:szCs w:val="22"/>
              </w:rPr>
              <w:t>分；最多不超过</w:t>
            </w:r>
            <w:r>
              <w:rPr>
                <w:color w:val="000000"/>
                <w:kern w:val="0"/>
                <w:sz w:val="22"/>
                <w:szCs w:val="22"/>
              </w:rPr>
              <w:t>5</w:t>
            </w:r>
            <w:r>
              <w:rPr>
                <w:rFonts w:hint="eastAsia" w:ascii="宋体" w:hAnsi="宋体"/>
                <w:color w:val="000000"/>
                <w:kern w:val="0"/>
                <w:sz w:val="22"/>
                <w:szCs w:val="22"/>
              </w:rPr>
              <w:t>分。</w:t>
            </w:r>
          </w:p>
          <w:p w14:paraId="026A3F6C">
            <w:pPr>
              <w:widowControl/>
              <w:jc w:val="left"/>
              <w:rPr>
                <w:color w:val="000000"/>
                <w:kern w:val="0"/>
                <w:sz w:val="22"/>
                <w:szCs w:val="22"/>
              </w:rPr>
            </w:pPr>
            <w:r>
              <w:rPr>
                <w:color w:val="000000"/>
                <w:kern w:val="0"/>
                <w:sz w:val="22"/>
                <w:szCs w:val="22"/>
              </w:rPr>
              <w:t>2.</w:t>
            </w:r>
            <w:r>
              <w:rPr>
                <w:rFonts w:hint="eastAsia" w:ascii="宋体" w:hAnsi="宋体"/>
                <w:color w:val="000000"/>
                <w:kern w:val="0"/>
                <w:sz w:val="22"/>
                <w:szCs w:val="22"/>
              </w:rPr>
              <w:t>发现灌木、草皮死亡</w:t>
            </w:r>
            <w:r>
              <w:rPr>
                <w:color w:val="000000"/>
                <w:kern w:val="0"/>
                <w:sz w:val="22"/>
                <w:szCs w:val="22"/>
              </w:rPr>
              <w:t>10</w:t>
            </w:r>
            <w:r>
              <w:rPr>
                <w:rFonts w:hint="eastAsia" w:ascii="宋体" w:hAnsi="宋体"/>
                <w:color w:val="000000"/>
                <w:kern w:val="0"/>
                <w:sz w:val="22"/>
                <w:szCs w:val="22"/>
              </w:rPr>
              <w:t>平方米以上的每处扣</w:t>
            </w:r>
            <w:r>
              <w:rPr>
                <w:color w:val="000000"/>
                <w:kern w:val="0"/>
                <w:sz w:val="22"/>
                <w:szCs w:val="22"/>
              </w:rPr>
              <w:t>0.15</w:t>
            </w:r>
            <w:r>
              <w:rPr>
                <w:rFonts w:hint="eastAsia" w:ascii="宋体" w:hAnsi="宋体"/>
                <w:color w:val="000000"/>
                <w:kern w:val="0"/>
                <w:sz w:val="22"/>
                <w:szCs w:val="22"/>
              </w:rPr>
              <w:t>分；最多不超过</w:t>
            </w:r>
            <w:r>
              <w:rPr>
                <w:color w:val="000000"/>
                <w:kern w:val="0"/>
                <w:sz w:val="22"/>
                <w:szCs w:val="22"/>
              </w:rPr>
              <w:t>3</w:t>
            </w:r>
            <w:r>
              <w:rPr>
                <w:rFonts w:hint="eastAsia" w:ascii="宋体" w:hAnsi="宋体"/>
                <w:color w:val="000000"/>
                <w:kern w:val="0"/>
                <w:sz w:val="22"/>
                <w:szCs w:val="22"/>
              </w:rPr>
              <w:t>分。</w:t>
            </w:r>
          </w:p>
        </w:tc>
      </w:tr>
      <w:tr w14:paraId="4EF49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704" w:type="dxa"/>
            <w:shd w:val="clear" w:color="auto" w:fill="auto"/>
            <w:noWrap/>
            <w:vAlign w:val="center"/>
          </w:tcPr>
          <w:p w14:paraId="175F8EEE">
            <w:pPr>
              <w:widowControl/>
              <w:jc w:val="center"/>
              <w:rPr>
                <w:color w:val="000000"/>
                <w:kern w:val="0"/>
                <w:sz w:val="22"/>
                <w:szCs w:val="22"/>
              </w:rPr>
            </w:pPr>
            <w:r>
              <w:rPr>
                <w:color w:val="000000"/>
                <w:kern w:val="0"/>
                <w:sz w:val="22"/>
                <w:szCs w:val="22"/>
              </w:rPr>
              <w:t>2</w:t>
            </w:r>
          </w:p>
        </w:tc>
        <w:tc>
          <w:tcPr>
            <w:tcW w:w="1139" w:type="dxa"/>
            <w:vMerge w:val="continue"/>
            <w:vAlign w:val="center"/>
          </w:tcPr>
          <w:p w14:paraId="47FAF7E8">
            <w:pPr>
              <w:widowControl/>
              <w:jc w:val="left"/>
              <w:rPr>
                <w:color w:val="000000"/>
                <w:kern w:val="0"/>
                <w:sz w:val="22"/>
                <w:szCs w:val="22"/>
              </w:rPr>
            </w:pPr>
          </w:p>
        </w:tc>
        <w:tc>
          <w:tcPr>
            <w:tcW w:w="1335" w:type="dxa"/>
            <w:vMerge w:val="continue"/>
            <w:vAlign w:val="center"/>
          </w:tcPr>
          <w:p w14:paraId="02056902">
            <w:pPr>
              <w:widowControl/>
              <w:jc w:val="left"/>
              <w:rPr>
                <w:color w:val="000000"/>
                <w:kern w:val="0"/>
                <w:sz w:val="22"/>
                <w:szCs w:val="22"/>
              </w:rPr>
            </w:pPr>
          </w:p>
        </w:tc>
        <w:tc>
          <w:tcPr>
            <w:tcW w:w="1560" w:type="dxa"/>
            <w:shd w:val="clear" w:color="auto" w:fill="auto"/>
            <w:vAlign w:val="center"/>
          </w:tcPr>
          <w:p w14:paraId="249A3085">
            <w:pPr>
              <w:widowControl/>
              <w:jc w:val="left"/>
              <w:rPr>
                <w:color w:val="000000"/>
                <w:kern w:val="0"/>
                <w:sz w:val="22"/>
                <w:szCs w:val="22"/>
              </w:rPr>
            </w:pPr>
            <w:r>
              <w:rPr>
                <w:rFonts w:hint="eastAsia" w:ascii="宋体" w:hAnsi="宋体"/>
                <w:color w:val="000000"/>
                <w:kern w:val="0"/>
                <w:sz w:val="22"/>
                <w:szCs w:val="22"/>
              </w:rPr>
              <w:t>草皮、小灌木修剪平滑、美观</w:t>
            </w:r>
          </w:p>
        </w:tc>
        <w:tc>
          <w:tcPr>
            <w:tcW w:w="708" w:type="dxa"/>
            <w:shd w:val="clear" w:color="auto" w:fill="auto"/>
            <w:vAlign w:val="center"/>
          </w:tcPr>
          <w:p w14:paraId="4A441A09">
            <w:pPr>
              <w:widowControl/>
              <w:jc w:val="center"/>
              <w:rPr>
                <w:color w:val="000000"/>
                <w:kern w:val="0"/>
                <w:sz w:val="22"/>
                <w:szCs w:val="22"/>
              </w:rPr>
            </w:pPr>
            <w:r>
              <w:rPr>
                <w:color w:val="000000"/>
                <w:kern w:val="0"/>
                <w:sz w:val="22"/>
                <w:szCs w:val="22"/>
              </w:rPr>
              <w:t>3</w:t>
            </w:r>
          </w:p>
        </w:tc>
        <w:tc>
          <w:tcPr>
            <w:tcW w:w="1358" w:type="dxa"/>
            <w:shd w:val="clear" w:color="auto" w:fill="auto"/>
            <w:vAlign w:val="center"/>
          </w:tcPr>
          <w:p w14:paraId="31A7B332">
            <w:pPr>
              <w:widowControl/>
              <w:jc w:val="center"/>
              <w:rPr>
                <w:color w:val="000000"/>
                <w:kern w:val="0"/>
                <w:sz w:val="22"/>
                <w:szCs w:val="22"/>
              </w:rPr>
            </w:pPr>
            <w:r>
              <w:rPr>
                <w:rFonts w:hint="eastAsia" w:ascii="宋体" w:hAnsi="宋体"/>
                <w:color w:val="000000"/>
                <w:kern w:val="0"/>
                <w:sz w:val="22"/>
                <w:szCs w:val="22"/>
              </w:rPr>
              <w:t>实地调研</w:t>
            </w:r>
          </w:p>
        </w:tc>
        <w:tc>
          <w:tcPr>
            <w:tcW w:w="7453" w:type="dxa"/>
            <w:shd w:val="clear" w:color="auto" w:fill="auto"/>
            <w:vAlign w:val="center"/>
          </w:tcPr>
          <w:p w14:paraId="09925C89">
            <w:pPr>
              <w:widowControl/>
              <w:jc w:val="left"/>
              <w:rPr>
                <w:color w:val="000000"/>
                <w:kern w:val="0"/>
                <w:sz w:val="22"/>
                <w:szCs w:val="22"/>
              </w:rPr>
            </w:pPr>
            <w:r>
              <w:rPr>
                <w:color w:val="000000"/>
                <w:kern w:val="0"/>
                <w:sz w:val="22"/>
                <w:szCs w:val="22"/>
              </w:rPr>
              <w:t>1.</w:t>
            </w:r>
            <w:r>
              <w:rPr>
                <w:rFonts w:hint="eastAsia" w:ascii="宋体" w:hAnsi="宋体"/>
                <w:color w:val="000000"/>
                <w:kern w:val="0"/>
                <w:sz w:val="22"/>
                <w:szCs w:val="22"/>
              </w:rPr>
              <w:t>按照要求对草皮、小灌木等地被进行留养修剪，草皮修剪不连贯或未及时修剪的，</w:t>
            </w:r>
            <w:r>
              <w:rPr>
                <w:color w:val="000000"/>
                <w:kern w:val="0"/>
                <w:sz w:val="22"/>
                <w:szCs w:val="22"/>
              </w:rPr>
              <w:t>10</w:t>
            </w:r>
            <w:r>
              <w:rPr>
                <w:rFonts w:hint="eastAsia" w:ascii="宋体" w:hAnsi="宋体"/>
                <w:color w:val="000000"/>
                <w:kern w:val="0"/>
                <w:sz w:val="22"/>
                <w:szCs w:val="22"/>
              </w:rPr>
              <w:t>平方米以上的每处扣</w:t>
            </w:r>
            <w:r>
              <w:rPr>
                <w:color w:val="000000"/>
                <w:kern w:val="0"/>
                <w:sz w:val="22"/>
                <w:szCs w:val="22"/>
              </w:rPr>
              <w:t>0.15</w:t>
            </w:r>
            <w:r>
              <w:rPr>
                <w:rFonts w:hint="eastAsia" w:ascii="宋体" w:hAnsi="宋体"/>
                <w:color w:val="000000"/>
                <w:kern w:val="0"/>
                <w:sz w:val="22"/>
                <w:szCs w:val="22"/>
              </w:rPr>
              <w:t>分；最多扣</w:t>
            </w:r>
            <w:r>
              <w:rPr>
                <w:color w:val="000000"/>
                <w:kern w:val="0"/>
                <w:sz w:val="22"/>
                <w:szCs w:val="22"/>
              </w:rPr>
              <w:t>3</w:t>
            </w:r>
            <w:r>
              <w:rPr>
                <w:rFonts w:hint="eastAsia" w:ascii="宋体" w:hAnsi="宋体"/>
                <w:color w:val="000000"/>
                <w:kern w:val="0"/>
                <w:sz w:val="22"/>
                <w:szCs w:val="22"/>
              </w:rPr>
              <w:t>分。</w:t>
            </w:r>
          </w:p>
        </w:tc>
      </w:tr>
      <w:tr w14:paraId="52749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704" w:type="dxa"/>
            <w:shd w:val="clear" w:color="auto" w:fill="auto"/>
            <w:noWrap/>
            <w:vAlign w:val="center"/>
          </w:tcPr>
          <w:p w14:paraId="19903B45">
            <w:pPr>
              <w:widowControl/>
              <w:jc w:val="center"/>
              <w:rPr>
                <w:color w:val="000000"/>
                <w:kern w:val="0"/>
                <w:sz w:val="22"/>
                <w:szCs w:val="22"/>
              </w:rPr>
            </w:pPr>
            <w:r>
              <w:rPr>
                <w:color w:val="000000"/>
                <w:kern w:val="0"/>
                <w:sz w:val="22"/>
                <w:szCs w:val="22"/>
              </w:rPr>
              <w:t>3</w:t>
            </w:r>
          </w:p>
        </w:tc>
        <w:tc>
          <w:tcPr>
            <w:tcW w:w="1139" w:type="dxa"/>
            <w:vMerge w:val="continue"/>
            <w:vAlign w:val="center"/>
          </w:tcPr>
          <w:p w14:paraId="4D3E87EE">
            <w:pPr>
              <w:widowControl/>
              <w:jc w:val="left"/>
              <w:rPr>
                <w:color w:val="000000"/>
                <w:kern w:val="0"/>
                <w:sz w:val="22"/>
                <w:szCs w:val="22"/>
              </w:rPr>
            </w:pPr>
          </w:p>
        </w:tc>
        <w:tc>
          <w:tcPr>
            <w:tcW w:w="1335" w:type="dxa"/>
            <w:vMerge w:val="continue"/>
            <w:vAlign w:val="center"/>
          </w:tcPr>
          <w:p w14:paraId="72F18256">
            <w:pPr>
              <w:widowControl/>
              <w:jc w:val="left"/>
              <w:rPr>
                <w:color w:val="000000"/>
                <w:kern w:val="0"/>
                <w:sz w:val="22"/>
                <w:szCs w:val="22"/>
              </w:rPr>
            </w:pPr>
          </w:p>
        </w:tc>
        <w:tc>
          <w:tcPr>
            <w:tcW w:w="1560" w:type="dxa"/>
            <w:shd w:val="clear" w:color="auto" w:fill="auto"/>
            <w:vAlign w:val="center"/>
          </w:tcPr>
          <w:p w14:paraId="36220505">
            <w:pPr>
              <w:widowControl/>
              <w:jc w:val="left"/>
              <w:rPr>
                <w:color w:val="000000"/>
                <w:kern w:val="0"/>
                <w:sz w:val="22"/>
                <w:szCs w:val="22"/>
              </w:rPr>
            </w:pPr>
            <w:r>
              <w:rPr>
                <w:rFonts w:hint="eastAsia" w:ascii="宋体" w:hAnsi="宋体"/>
                <w:color w:val="000000"/>
                <w:kern w:val="0"/>
                <w:sz w:val="22"/>
                <w:szCs w:val="22"/>
              </w:rPr>
              <w:t>乔、大灌木修剪（抹芽）合理</w:t>
            </w:r>
          </w:p>
        </w:tc>
        <w:tc>
          <w:tcPr>
            <w:tcW w:w="708" w:type="dxa"/>
            <w:shd w:val="clear" w:color="auto" w:fill="auto"/>
            <w:noWrap/>
            <w:vAlign w:val="center"/>
          </w:tcPr>
          <w:p w14:paraId="52275A52">
            <w:pPr>
              <w:widowControl/>
              <w:jc w:val="center"/>
              <w:rPr>
                <w:color w:val="000000"/>
                <w:kern w:val="0"/>
                <w:sz w:val="22"/>
                <w:szCs w:val="22"/>
              </w:rPr>
            </w:pPr>
            <w:r>
              <w:rPr>
                <w:color w:val="000000"/>
                <w:kern w:val="0"/>
                <w:sz w:val="22"/>
                <w:szCs w:val="22"/>
              </w:rPr>
              <w:t>4</w:t>
            </w:r>
          </w:p>
        </w:tc>
        <w:tc>
          <w:tcPr>
            <w:tcW w:w="1358" w:type="dxa"/>
            <w:shd w:val="clear" w:color="auto" w:fill="auto"/>
            <w:vAlign w:val="center"/>
          </w:tcPr>
          <w:p w14:paraId="4AC0DCE5">
            <w:pPr>
              <w:widowControl/>
              <w:jc w:val="center"/>
              <w:rPr>
                <w:color w:val="000000"/>
                <w:kern w:val="0"/>
                <w:sz w:val="22"/>
                <w:szCs w:val="22"/>
              </w:rPr>
            </w:pPr>
            <w:r>
              <w:rPr>
                <w:rFonts w:hint="eastAsia" w:ascii="宋体" w:hAnsi="宋体"/>
                <w:color w:val="000000"/>
                <w:kern w:val="0"/>
                <w:sz w:val="22"/>
                <w:szCs w:val="22"/>
              </w:rPr>
              <w:t>实地调研</w:t>
            </w:r>
          </w:p>
        </w:tc>
        <w:tc>
          <w:tcPr>
            <w:tcW w:w="7453" w:type="dxa"/>
            <w:shd w:val="clear" w:color="auto" w:fill="auto"/>
            <w:vAlign w:val="center"/>
          </w:tcPr>
          <w:p w14:paraId="63E7269D">
            <w:pPr>
              <w:widowControl/>
              <w:jc w:val="left"/>
              <w:rPr>
                <w:rFonts w:ascii="宋体" w:hAnsi="宋体"/>
                <w:color w:val="000000"/>
                <w:kern w:val="0"/>
                <w:sz w:val="22"/>
                <w:szCs w:val="22"/>
              </w:rPr>
            </w:pPr>
            <w:r>
              <w:rPr>
                <w:color w:val="000000"/>
                <w:kern w:val="0"/>
                <w:sz w:val="22"/>
                <w:szCs w:val="22"/>
              </w:rPr>
              <w:t>1.</w:t>
            </w:r>
            <w:r>
              <w:rPr>
                <w:rFonts w:hint="eastAsia" w:ascii="宋体" w:hAnsi="宋体"/>
                <w:color w:val="000000"/>
                <w:kern w:val="0"/>
                <w:sz w:val="22"/>
                <w:szCs w:val="22"/>
              </w:rPr>
              <w:t>不及时修剪乔、大灌木形成萌芽多，弱枝、病枝多，每发现</w:t>
            </w:r>
            <w:r>
              <w:rPr>
                <w:color w:val="000000"/>
                <w:kern w:val="0"/>
                <w:sz w:val="22"/>
                <w:szCs w:val="22"/>
              </w:rPr>
              <w:t>5</w:t>
            </w:r>
            <w:r>
              <w:rPr>
                <w:rFonts w:hint="eastAsia" w:ascii="宋体" w:hAnsi="宋体"/>
                <w:color w:val="000000"/>
                <w:kern w:val="0"/>
                <w:sz w:val="22"/>
                <w:szCs w:val="22"/>
              </w:rPr>
              <w:t>棵扣</w:t>
            </w:r>
            <w:r>
              <w:rPr>
                <w:color w:val="000000"/>
                <w:kern w:val="0"/>
                <w:sz w:val="22"/>
                <w:szCs w:val="22"/>
              </w:rPr>
              <w:t>0.1</w:t>
            </w:r>
            <w:r>
              <w:rPr>
                <w:rFonts w:hint="eastAsia" w:ascii="宋体" w:hAnsi="宋体"/>
                <w:color w:val="000000"/>
                <w:kern w:val="0"/>
                <w:sz w:val="22"/>
                <w:szCs w:val="22"/>
              </w:rPr>
              <w:t>分；最多扣</w:t>
            </w:r>
            <w:r>
              <w:rPr>
                <w:color w:val="000000"/>
                <w:kern w:val="0"/>
                <w:sz w:val="22"/>
                <w:szCs w:val="22"/>
              </w:rPr>
              <w:t>2</w:t>
            </w:r>
            <w:r>
              <w:rPr>
                <w:rFonts w:hint="eastAsia" w:ascii="宋体" w:hAnsi="宋体"/>
                <w:color w:val="000000"/>
                <w:kern w:val="0"/>
                <w:sz w:val="22"/>
                <w:szCs w:val="22"/>
              </w:rPr>
              <w:t>分。</w:t>
            </w:r>
          </w:p>
          <w:p w14:paraId="35C144AE">
            <w:pPr>
              <w:widowControl/>
              <w:jc w:val="left"/>
              <w:rPr>
                <w:color w:val="000000"/>
                <w:kern w:val="0"/>
                <w:sz w:val="22"/>
                <w:szCs w:val="22"/>
              </w:rPr>
            </w:pPr>
            <w:r>
              <w:rPr>
                <w:color w:val="000000"/>
                <w:kern w:val="0"/>
                <w:sz w:val="22"/>
                <w:szCs w:val="22"/>
              </w:rPr>
              <w:t>2.</w:t>
            </w:r>
            <w:r>
              <w:rPr>
                <w:rFonts w:hint="eastAsia" w:ascii="宋体" w:hAnsi="宋体"/>
                <w:color w:val="000000"/>
                <w:kern w:val="0"/>
                <w:sz w:val="22"/>
                <w:szCs w:val="22"/>
              </w:rPr>
              <w:t>有折损枝或修剪后清理不干净的，每发现</w:t>
            </w:r>
            <w:r>
              <w:rPr>
                <w:color w:val="000000"/>
                <w:kern w:val="0"/>
                <w:sz w:val="22"/>
                <w:szCs w:val="22"/>
              </w:rPr>
              <w:t>1</w:t>
            </w:r>
            <w:r>
              <w:rPr>
                <w:rFonts w:hint="eastAsia" w:ascii="宋体" w:hAnsi="宋体"/>
                <w:color w:val="000000"/>
                <w:kern w:val="0"/>
                <w:sz w:val="22"/>
                <w:szCs w:val="22"/>
              </w:rPr>
              <w:t>处扣</w:t>
            </w:r>
            <w:r>
              <w:rPr>
                <w:color w:val="000000"/>
                <w:kern w:val="0"/>
                <w:sz w:val="22"/>
                <w:szCs w:val="22"/>
              </w:rPr>
              <w:t>0.1</w:t>
            </w:r>
            <w:r>
              <w:rPr>
                <w:rFonts w:hint="eastAsia" w:ascii="宋体" w:hAnsi="宋体"/>
                <w:color w:val="000000"/>
                <w:kern w:val="0"/>
                <w:sz w:val="22"/>
                <w:szCs w:val="22"/>
              </w:rPr>
              <w:t>分；最多扣</w:t>
            </w:r>
            <w:r>
              <w:rPr>
                <w:color w:val="000000"/>
                <w:kern w:val="0"/>
                <w:sz w:val="22"/>
                <w:szCs w:val="22"/>
              </w:rPr>
              <w:t>2</w:t>
            </w:r>
            <w:r>
              <w:rPr>
                <w:rFonts w:hint="eastAsia" w:ascii="宋体" w:hAnsi="宋体"/>
                <w:color w:val="000000"/>
                <w:kern w:val="0"/>
                <w:sz w:val="22"/>
                <w:szCs w:val="22"/>
              </w:rPr>
              <w:t>分。</w:t>
            </w:r>
          </w:p>
        </w:tc>
      </w:tr>
      <w:tr w14:paraId="4CBC6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704" w:type="dxa"/>
            <w:shd w:val="clear" w:color="auto" w:fill="auto"/>
            <w:noWrap/>
            <w:vAlign w:val="center"/>
          </w:tcPr>
          <w:p w14:paraId="5D4818EE">
            <w:pPr>
              <w:widowControl/>
              <w:jc w:val="center"/>
              <w:rPr>
                <w:color w:val="000000"/>
                <w:kern w:val="0"/>
                <w:sz w:val="22"/>
                <w:szCs w:val="22"/>
              </w:rPr>
            </w:pPr>
            <w:r>
              <w:rPr>
                <w:color w:val="000000"/>
                <w:kern w:val="0"/>
                <w:sz w:val="22"/>
                <w:szCs w:val="22"/>
              </w:rPr>
              <w:t>4</w:t>
            </w:r>
          </w:p>
        </w:tc>
        <w:tc>
          <w:tcPr>
            <w:tcW w:w="1139" w:type="dxa"/>
            <w:vMerge w:val="continue"/>
            <w:vAlign w:val="center"/>
          </w:tcPr>
          <w:p w14:paraId="31F150FB">
            <w:pPr>
              <w:widowControl/>
              <w:jc w:val="left"/>
              <w:rPr>
                <w:color w:val="000000"/>
                <w:kern w:val="0"/>
                <w:sz w:val="22"/>
                <w:szCs w:val="22"/>
              </w:rPr>
            </w:pPr>
          </w:p>
        </w:tc>
        <w:tc>
          <w:tcPr>
            <w:tcW w:w="1335" w:type="dxa"/>
            <w:vMerge w:val="continue"/>
            <w:vAlign w:val="center"/>
          </w:tcPr>
          <w:p w14:paraId="11BC83F4">
            <w:pPr>
              <w:widowControl/>
              <w:jc w:val="left"/>
              <w:rPr>
                <w:color w:val="000000"/>
                <w:kern w:val="0"/>
                <w:sz w:val="22"/>
                <w:szCs w:val="22"/>
              </w:rPr>
            </w:pPr>
          </w:p>
        </w:tc>
        <w:tc>
          <w:tcPr>
            <w:tcW w:w="1560" w:type="dxa"/>
            <w:shd w:val="clear" w:color="auto" w:fill="auto"/>
            <w:vAlign w:val="center"/>
          </w:tcPr>
          <w:p w14:paraId="081EE828">
            <w:pPr>
              <w:widowControl/>
              <w:jc w:val="left"/>
              <w:rPr>
                <w:color w:val="000000"/>
                <w:kern w:val="0"/>
                <w:sz w:val="22"/>
                <w:szCs w:val="22"/>
              </w:rPr>
            </w:pPr>
            <w:r>
              <w:rPr>
                <w:rFonts w:hint="eastAsia" w:ascii="宋体" w:hAnsi="宋体"/>
                <w:color w:val="000000"/>
                <w:kern w:val="0"/>
                <w:sz w:val="22"/>
                <w:szCs w:val="22"/>
              </w:rPr>
              <w:t>病虫害防治和控制及时</w:t>
            </w:r>
          </w:p>
        </w:tc>
        <w:tc>
          <w:tcPr>
            <w:tcW w:w="708" w:type="dxa"/>
            <w:shd w:val="clear" w:color="auto" w:fill="auto"/>
            <w:noWrap/>
            <w:vAlign w:val="center"/>
          </w:tcPr>
          <w:p w14:paraId="24BD0912">
            <w:pPr>
              <w:widowControl/>
              <w:jc w:val="center"/>
              <w:rPr>
                <w:color w:val="000000"/>
                <w:kern w:val="0"/>
                <w:sz w:val="22"/>
                <w:szCs w:val="22"/>
              </w:rPr>
            </w:pPr>
            <w:r>
              <w:rPr>
                <w:color w:val="000000"/>
                <w:kern w:val="0"/>
                <w:sz w:val="22"/>
                <w:szCs w:val="22"/>
              </w:rPr>
              <w:t>3</w:t>
            </w:r>
          </w:p>
        </w:tc>
        <w:tc>
          <w:tcPr>
            <w:tcW w:w="1358" w:type="dxa"/>
            <w:shd w:val="clear" w:color="auto" w:fill="auto"/>
            <w:vAlign w:val="center"/>
          </w:tcPr>
          <w:p w14:paraId="0311B668">
            <w:pPr>
              <w:widowControl/>
              <w:jc w:val="center"/>
              <w:rPr>
                <w:color w:val="000000"/>
                <w:kern w:val="0"/>
                <w:sz w:val="22"/>
                <w:szCs w:val="22"/>
              </w:rPr>
            </w:pPr>
            <w:r>
              <w:rPr>
                <w:rFonts w:hint="eastAsia" w:ascii="宋体" w:hAnsi="宋体"/>
                <w:color w:val="000000"/>
                <w:kern w:val="0"/>
                <w:sz w:val="22"/>
                <w:szCs w:val="22"/>
              </w:rPr>
              <w:t>实地调研</w:t>
            </w:r>
          </w:p>
        </w:tc>
        <w:tc>
          <w:tcPr>
            <w:tcW w:w="7453" w:type="dxa"/>
            <w:shd w:val="clear" w:color="auto" w:fill="auto"/>
            <w:vAlign w:val="center"/>
          </w:tcPr>
          <w:p w14:paraId="598F7677">
            <w:pPr>
              <w:widowControl/>
              <w:jc w:val="left"/>
              <w:rPr>
                <w:rFonts w:ascii="宋体" w:hAnsi="宋体"/>
                <w:color w:val="000000"/>
                <w:kern w:val="0"/>
                <w:sz w:val="22"/>
                <w:szCs w:val="22"/>
              </w:rPr>
            </w:pPr>
            <w:r>
              <w:rPr>
                <w:color w:val="000000"/>
                <w:kern w:val="0"/>
                <w:sz w:val="22"/>
                <w:szCs w:val="22"/>
              </w:rPr>
              <w:t>1.</w:t>
            </w:r>
            <w:r>
              <w:rPr>
                <w:rFonts w:hint="eastAsia" w:ascii="宋体" w:hAnsi="宋体"/>
                <w:color w:val="000000"/>
                <w:kern w:val="0"/>
                <w:sz w:val="22"/>
                <w:szCs w:val="22"/>
              </w:rPr>
              <w:t>病虫害防治措施不力，未及时刷白乔木对植物造成损害，视情况每次扣</w:t>
            </w:r>
            <w:r>
              <w:rPr>
                <w:color w:val="000000"/>
                <w:kern w:val="0"/>
                <w:sz w:val="22"/>
                <w:szCs w:val="22"/>
              </w:rPr>
              <w:t>0.15</w:t>
            </w:r>
            <w:r>
              <w:rPr>
                <w:rFonts w:hint="eastAsia" w:ascii="宋体" w:hAnsi="宋体"/>
                <w:color w:val="000000"/>
                <w:kern w:val="0"/>
                <w:sz w:val="22"/>
                <w:szCs w:val="22"/>
              </w:rPr>
              <w:t>分；最多扣</w:t>
            </w:r>
            <w:r>
              <w:rPr>
                <w:color w:val="000000"/>
                <w:kern w:val="0"/>
                <w:sz w:val="22"/>
                <w:szCs w:val="22"/>
              </w:rPr>
              <w:t>3</w:t>
            </w:r>
            <w:r>
              <w:rPr>
                <w:rFonts w:hint="eastAsia" w:ascii="宋体" w:hAnsi="宋体"/>
                <w:color w:val="000000"/>
                <w:kern w:val="0"/>
                <w:sz w:val="22"/>
                <w:szCs w:val="22"/>
              </w:rPr>
              <w:t>分。</w:t>
            </w:r>
          </w:p>
          <w:p w14:paraId="6FC0A665">
            <w:pPr>
              <w:widowControl/>
              <w:jc w:val="left"/>
              <w:rPr>
                <w:color w:val="000000"/>
                <w:kern w:val="0"/>
                <w:sz w:val="22"/>
                <w:szCs w:val="22"/>
              </w:rPr>
            </w:pPr>
            <w:r>
              <w:rPr>
                <w:color w:val="000000"/>
                <w:kern w:val="0"/>
                <w:sz w:val="22"/>
                <w:szCs w:val="22"/>
              </w:rPr>
              <w:t>2.</w:t>
            </w:r>
            <w:r>
              <w:rPr>
                <w:rFonts w:hint="eastAsia" w:ascii="宋体" w:hAnsi="宋体"/>
                <w:color w:val="000000"/>
                <w:kern w:val="0"/>
                <w:sz w:val="22"/>
                <w:szCs w:val="22"/>
              </w:rPr>
              <w:t>发生大面积病虫害造成严重影响或违规用药发生药害事故的不得分。</w:t>
            </w:r>
          </w:p>
        </w:tc>
      </w:tr>
      <w:tr w14:paraId="6A1D5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704" w:type="dxa"/>
            <w:shd w:val="clear" w:color="auto" w:fill="auto"/>
            <w:noWrap/>
            <w:vAlign w:val="center"/>
          </w:tcPr>
          <w:p w14:paraId="7301E16B">
            <w:pPr>
              <w:widowControl/>
              <w:jc w:val="center"/>
              <w:rPr>
                <w:color w:val="000000"/>
                <w:kern w:val="0"/>
                <w:sz w:val="22"/>
                <w:szCs w:val="22"/>
              </w:rPr>
            </w:pPr>
            <w:r>
              <w:rPr>
                <w:color w:val="000000"/>
                <w:kern w:val="0"/>
                <w:sz w:val="22"/>
                <w:szCs w:val="22"/>
              </w:rPr>
              <w:t>5</w:t>
            </w:r>
          </w:p>
        </w:tc>
        <w:tc>
          <w:tcPr>
            <w:tcW w:w="1139" w:type="dxa"/>
            <w:vMerge w:val="continue"/>
            <w:vAlign w:val="center"/>
          </w:tcPr>
          <w:p w14:paraId="2A31CDCB">
            <w:pPr>
              <w:widowControl/>
              <w:jc w:val="left"/>
              <w:rPr>
                <w:color w:val="000000"/>
                <w:kern w:val="0"/>
                <w:sz w:val="22"/>
                <w:szCs w:val="22"/>
              </w:rPr>
            </w:pPr>
          </w:p>
        </w:tc>
        <w:tc>
          <w:tcPr>
            <w:tcW w:w="1335" w:type="dxa"/>
            <w:vMerge w:val="continue"/>
            <w:vAlign w:val="center"/>
          </w:tcPr>
          <w:p w14:paraId="53B0AB67">
            <w:pPr>
              <w:widowControl/>
              <w:jc w:val="left"/>
              <w:rPr>
                <w:color w:val="000000"/>
                <w:kern w:val="0"/>
                <w:sz w:val="22"/>
                <w:szCs w:val="22"/>
              </w:rPr>
            </w:pPr>
          </w:p>
        </w:tc>
        <w:tc>
          <w:tcPr>
            <w:tcW w:w="1560" w:type="dxa"/>
            <w:shd w:val="clear" w:color="auto" w:fill="auto"/>
            <w:vAlign w:val="center"/>
          </w:tcPr>
          <w:p w14:paraId="3BAC7346">
            <w:pPr>
              <w:widowControl/>
              <w:jc w:val="left"/>
              <w:rPr>
                <w:color w:val="000000"/>
                <w:kern w:val="0"/>
                <w:sz w:val="22"/>
                <w:szCs w:val="22"/>
              </w:rPr>
            </w:pPr>
            <w:r>
              <w:rPr>
                <w:rFonts w:hint="eastAsia" w:ascii="宋体" w:hAnsi="宋体"/>
                <w:color w:val="000000"/>
                <w:kern w:val="0"/>
                <w:sz w:val="22"/>
                <w:szCs w:val="22"/>
              </w:rPr>
              <w:t>杂草清理</w:t>
            </w:r>
          </w:p>
        </w:tc>
        <w:tc>
          <w:tcPr>
            <w:tcW w:w="708" w:type="dxa"/>
            <w:shd w:val="clear" w:color="auto" w:fill="auto"/>
            <w:noWrap/>
            <w:vAlign w:val="center"/>
          </w:tcPr>
          <w:p w14:paraId="61CF0AA3">
            <w:pPr>
              <w:widowControl/>
              <w:jc w:val="center"/>
              <w:rPr>
                <w:color w:val="000000"/>
                <w:kern w:val="0"/>
                <w:sz w:val="22"/>
                <w:szCs w:val="22"/>
              </w:rPr>
            </w:pPr>
            <w:r>
              <w:rPr>
                <w:color w:val="000000"/>
                <w:kern w:val="0"/>
                <w:sz w:val="22"/>
                <w:szCs w:val="22"/>
              </w:rPr>
              <w:t>4</w:t>
            </w:r>
          </w:p>
        </w:tc>
        <w:tc>
          <w:tcPr>
            <w:tcW w:w="1358" w:type="dxa"/>
            <w:shd w:val="clear" w:color="auto" w:fill="auto"/>
            <w:vAlign w:val="center"/>
          </w:tcPr>
          <w:p w14:paraId="5ED7F09F">
            <w:pPr>
              <w:widowControl/>
              <w:jc w:val="center"/>
              <w:rPr>
                <w:color w:val="000000"/>
                <w:kern w:val="0"/>
                <w:sz w:val="22"/>
                <w:szCs w:val="22"/>
              </w:rPr>
            </w:pPr>
            <w:r>
              <w:rPr>
                <w:rFonts w:hint="eastAsia" w:ascii="宋体" w:hAnsi="宋体"/>
                <w:color w:val="000000"/>
                <w:kern w:val="0"/>
                <w:sz w:val="22"/>
                <w:szCs w:val="22"/>
              </w:rPr>
              <w:t>实地调研</w:t>
            </w:r>
          </w:p>
        </w:tc>
        <w:tc>
          <w:tcPr>
            <w:tcW w:w="7453" w:type="dxa"/>
            <w:shd w:val="clear" w:color="auto" w:fill="auto"/>
            <w:vAlign w:val="center"/>
          </w:tcPr>
          <w:p w14:paraId="1D36E2B3">
            <w:pPr>
              <w:widowControl/>
              <w:jc w:val="left"/>
              <w:rPr>
                <w:rFonts w:ascii="宋体" w:hAnsi="宋体"/>
                <w:color w:val="000000"/>
                <w:kern w:val="0"/>
                <w:sz w:val="22"/>
                <w:szCs w:val="22"/>
              </w:rPr>
            </w:pPr>
            <w:r>
              <w:rPr>
                <w:color w:val="000000"/>
                <w:kern w:val="0"/>
                <w:sz w:val="22"/>
                <w:szCs w:val="22"/>
              </w:rPr>
              <w:t>1.</w:t>
            </w:r>
            <w:r>
              <w:rPr>
                <w:rFonts w:hint="eastAsia" w:ascii="宋体" w:hAnsi="宋体"/>
                <w:color w:val="000000"/>
                <w:kern w:val="0"/>
                <w:sz w:val="22"/>
                <w:szCs w:val="22"/>
              </w:rPr>
              <w:t>未及时清除、清运绿化内杂草及垃圾，每发现</w:t>
            </w:r>
            <w:r>
              <w:rPr>
                <w:color w:val="000000"/>
                <w:kern w:val="0"/>
                <w:sz w:val="22"/>
                <w:szCs w:val="22"/>
              </w:rPr>
              <w:t>1</w:t>
            </w:r>
            <w:r>
              <w:rPr>
                <w:rFonts w:hint="eastAsia" w:ascii="宋体" w:hAnsi="宋体"/>
                <w:color w:val="000000"/>
                <w:kern w:val="0"/>
                <w:sz w:val="22"/>
                <w:szCs w:val="22"/>
              </w:rPr>
              <w:t>处扣</w:t>
            </w:r>
            <w:r>
              <w:rPr>
                <w:color w:val="000000"/>
                <w:kern w:val="0"/>
                <w:sz w:val="22"/>
                <w:szCs w:val="22"/>
              </w:rPr>
              <w:t>0.1</w:t>
            </w:r>
            <w:r>
              <w:rPr>
                <w:rFonts w:hint="eastAsia" w:ascii="宋体" w:hAnsi="宋体"/>
                <w:color w:val="000000"/>
                <w:kern w:val="0"/>
                <w:sz w:val="22"/>
                <w:szCs w:val="22"/>
              </w:rPr>
              <w:t>分；最多扣</w:t>
            </w:r>
            <w:r>
              <w:rPr>
                <w:color w:val="000000"/>
                <w:kern w:val="0"/>
                <w:sz w:val="22"/>
                <w:szCs w:val="22"/>
              </w:rPr>
              <w:t>2</w:t>
            </w:r>
            <w:r>
              <w:rPr>
                <w:rFonts w:hint="eastAsia" w:ascii="宋体" w:hAnsi="宋体"/>
                <w:color w:val="000000"/>
                <w:kern w:val="0"/>
                <w:sz w:val="22"/>
                <w:szCs w:val="22"/>
              </w:rPr>
              <w:t>分。</w:t>
            </w:r>
          </w:p>
          <w:p w14:paraId="5DA3A5D2">
            <w:pPr>
              <w:widowControl/>
              <w:jc w:val="left"/>
              <w:rPr>
                <w:color w:val="000000"/>
                <w:kern w:val="0"/>
                <w:sz w:val="22"/>
                <w:szCs w:val="22"/>
              </w:rPr>
            </w:pPr>
            <w:r>
              <w:rPr>
                <w:color w:val="000000"/>
                <w:kern w:val="0"/>
                <w:sz w:val="22"/>
                <w:szCs w:val="22"/>
              </w:rPr>
              <w:t>2.</w:t>
            </w:r>
            <w:r>
              <w:rPr>
                <w:rFonts w:hint="eastAsia" w:ascii="宋体" w:hAnsi="宋体"/>
                <w:color w:val="000000"/>
                <w:kern w:val="0"/>
                <w:sz w:val="22"/>
                <w:szCs w:val="22"/>
              </w:rPr>
              <w:t>碎石路发现面积大于</w:t>
            </w:r>
            <w:r>
              <w:rPr>
                <w:color w:val="000000"/>
                <w:kern w:val="0"/>
                <w:sz w:val="22"/>
                <w:szCs w:val="22"/>
              </w:rPr>
              <w:t>5</w:t>
            </w:r>
            <w:r>
              <w:rPr>
                <w:rFonts w:hint="eastAsia" w:ascii="宋体" w:hAnsi="宋体"/>
                <w:color w:val="000000"/>
                <w:kern w:val="0"/>
                <w:sz w:val="22"/>
                <w:szCs w:val="22"/>
              </w:rPr>
              <w:t>平方米杂草的、高杆野草长期清除不到位，每发现</w:t>
            </w:r>
            <w:r>
              <w:rPr>
                <w:color w:val="000000"/>
                <w:kern w:val="0"/>
                <w:sz w:val="22"/>
                <w:szCs w:val="22"/>
              </w:rPr>
              <w:t>1</w:t>
            </w:r>
            <w:r>
              <w:rPr>
                <w:rFonts w:hint="eastAsia" w:ascii="宋体" w:hAnsi="宋体"/>
                <w:color w:val="000000"/>
                <w:kern w:val="0"/>
                <w:sz w:val="22"/>
                <w:szCs w:val="22"/>
              </w:rPr>
              <w:t>处扣</w:t>
            </w:r>
            <w:r>
              <w:rPr>
                <w:color w:val="000000"/>
                <w:kern w:val="0"/>
                <w:sz w:val="22"/>
                <w:szCs w:val="22"/>
              </w:rPr>
              <w:t>0.1</w:t>
            </w:r>
            <w:r>
              <w:rPr>
                <w:rFonts w:hint="eastAsia" w:ascii="宋体" w:hAnsi="宋体"/>
                <w:color w:val="000000"/>
                <w:kern w:val="0"/>
                <w:sz w:val="22"/>
                <w:szCs w:val="22"/>
              </w:rPr>
              <w:t>分；最多扣</w:t>
            </w:r>
            <w:r>
              <w:rPr>
                <w:color w:val="000000"/>
                <w:kern w:val="0"/>
                <w:sz w:val="22"/>
                <w:szCs w:val="22"/>
              </w:rPr>
              <w:t>2</w:t>
            </w:r>
            <w:r>
              <w:rPr>
                <w:rFonts w:hint="eastAsia" w:ascii="宋体" w:hAnsi="宋体"/>
                <w:color w:val="000000"/>
                <w:kern w:val="0"/>
                <w:sz w:val="22"/>
                <w:szCs w:val="22"/>
              </w:rPr>
              <w:t>分。</w:t>
            </w:r>
          </w:p>
        </w:tc>
      </w:tr>
      <w:tr w14:paraId="5C7FE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704" w:type="dxa"/>
            <w:shd w:val="clear" w:color="auto" w:fill="auto"/>
            <w:noWrap/>
            <w:vAlign w:val="center"/>
          </w:tcPr>
          <w:p w14:paraId="03932D66">
            <w:pPr>
              <w:widowControl/>
              <w:jc w:val="center"/>
              <w:rPr>
                <w:color w:val="000000"/>
                <w:kern w:val="0"/>
                <w:sz w:val="22"/>
                <w:szCs w:val="22"/>
              </w:rPr>
            </w:pPr>
            <w:r>
              <w:rPr>
                <w:color w:val="000000"/>
                <w:kern w:val="0"/>
                <w:sz w:val="22"/>
                <w:szCs w:val="22"/>
              </w:rPr>
              <w:t>6</w:t>
            </w:r>
          </w:p>
        </w:tc>
        <w:tc>
          <w:tcPr>
            <w:tcW w:w="1139" w:type="dxa"/>
            <w:vMerge w:val="continue"/>
            <w:vAlign w:val="center"/>
          </w:tcPr>
          <w:p w14:paraId="40416484">
            <w:pPr>
              <w:widowControl/>
              <w:jc w:val="left"/>
              <w:rPr>
                <w:color w:val="000000"/>
                <w:kern w:val="0"/>
                <w:sz w:val="22"/>
                <w:szCs w:val="22"/>
              </w:rPr>
            </w:pPr>
          </w:p>
        </w:tc>
        <w:tc>
          <w:tcPr>
            <w:tcW w:w="1335" w:type="dxa"/>
            <w:vMerge w:val="restart"/>
            <w:shd w:val="clear" w:color="auto" w:fill="auto"/>
            <w:vAlign w:val="center"/>
          </w:tcPr>
          <w:p w14:paraId="27B9FA37">
            <w:pPr>
              <w:widowControl/>
              <w:jc w:val="center"/>
              <w:rPr>
                <w:rFonts w:ascii="宋体" w:hAnsi="宋体"/>
                <w:color w:val="000000"/>
                <w:kern w:val="0"/>
                <w:sz w:val="22"/>
                <w:szCs w:val="22"/>
              </w:rPr>
            </w:pPr>
            <w:r>
              <w:rPr>
                <w:rFonts w:hint="eastAsia" w:ascii="宋体" w:hAnsi="宋体"/>
                <w:color w:val="000000"/>
                <w:kern w:val="0"/>
                <w:sz w:val="22"/>
                <w:szCs w:val="22"/>
              </w:rPr>
              <w:t>道路、园路、游步道养护</w:t>
            </w:r>
          </w:p>
          <w:p w14:paraId="24C0D6CA">
            <w:pPr>
              <w:widowControl/>
              <w:jc w:val="center"/>
              <w:rPr>
                <w:color w:val="000000"/>
                <w:kern w:val="0"/>
                <w:sz w:val="22"/>
                <w:szCs w:val="22"/>
              </w:rPr>
            </w:pPr>
            <w:r>
              <w:rPr>
                <w:rFonts w:hint="eastAsia" w:ascii="宋体" w:hAnsi="宋体"/>
                <w:color w:val="000000"/>
                <w:kern w:val="0"/>
                <w:sz w:val="22"/>
                <w:szCs w:val="22"/>
              </w:rPr>
              <w:t>（15分）</w:t>
            </w:r>
          </w:p>
        </w:tc>
        <w:tc>
          <w:tcPr>
            <w:tcW w:w="1560" w:type="dxa"/>
            <w:shd w:val="clear" w:color="auto" w:fill="auto"/>
            <w:vAlign w:val="center"/>
          </w:tcPr>
          <w:p w14:paraId="14FCCFD0">
            <w:pPr>
              <w:widowControl/>
              <w:jc w:val="left"/>
              <w:rPr>
                <w:color w:val="000000"/>
                <w:kern w:val="0"/>
                <w:sz w:val="22"/>
                <w:szCs w:val="22"/>
              </w:rPr>
            </w:pPr>
            <w:r>
              <w:rPr>
                <w:rFonts w:hint="eastAsia" w:ascii="宋体" w:hAnsi="宋体"/>
                <w:color w:val="000000"/>
                <w:kern w:val="0"/>
                <w:sz w:val="22"/>
                <w:szCs w:val="22"/>
              </w:rPr>
              <w:t>路面维修</w:t>
            </w:r>
          </w:p>
        </w:tc>
        <w:tc>
          <w:tcPr>
            <w:tcW w:w="708" w:type="dxa"/>
            <w:shd w:val="clear" w:color="auto" w:fill="auto"/>
            <w:noWrap/>
            <w:vAlign w:val="center"/>
          </w:tcPr>
          <w:p w14:paraId="41BD1C87">
            <w:pPr>
              <w:widowControl/>
              <w:jc w:val="center"/>
              <w:rPr>
                <w:color w:val="000000"/>
                <w:kern w:val="0"/>
                <w:sz w:val="22"/>
                <w:szCs w:val="22"/>
              </w:rPr>
            </w:pPr>
            <w:r>
              <w:rPr>
                <w:color w:val="000000"/>
                <w:kern w:val="0"/>
                <w:sz w:val="22"/>
                <w:szCs w:val="22"/>
              </w:rPr>
              <w:t>6</w:t>
            </w:r>
          </w:p>
        </w:tc>
        <w:tc>
          <w:tcPr>
            <w:tcW w:w="1358" w:type="dxa"/>
            <w:shd w:val="clear" w:color="auto" w:fill="auto"/>
            <w:vAlign w:val="center"/>
          </w:tcPr>
          <w:p w14:paraId="0EFC4934">
            <w:pPr>
              <w:widowControl/>
              <w:jc w:val="center"/>
              <w:rPr>
                <w:color w:val="000000"/>
                <w:kern w:val="0"/>
                <w:sz w:val="22"/>
                <w:szCs w:val="22"/>
              </w:rPr>
            </w:pPr>
            <w:r>
              <w:rPr>
                <w:rFonts w:hint="eastAsia" w:ascii="宋体" w:hAnsi="宋体"/>
                <w:color w:val="000000"/>
                <w:kern w:val="0"/>
                <w:sz w:val="22"/>
                <w:szCs w:val="22"/>
              </w:rPr>
              <w:t>实地调研</w:t>
            </w:r>
          </w:p>
        </w:tc>
        <w:tc>
          <w:tcPr>
            <w:tcW w:w="7453" w:type="dxa"/>
            <w:shd w:val="clear" w:color="auto" w:fill="auto"/>
            <w:vAlign w:val="center"/>
          </w:tcPr>
          <w:p w14:paraId="7F91016A">
            <w:pPr>
              <w:widowControl/>
              <w:jc w:val="left"/>
              <w:rPr>
                <w:rFonts w:ascii="宋体" w:hAnsi="宋体"/>
                <w:color w:val="000000"/>
                <w:kern w:val="0"/>
                <w:sz w:val="22"/>
                <w:szCs w:val="22"/>
              </w:rPr>
            </w:pPr>
            <w:r>
              <w:rPr>
                <w:color w:val="000000"/>
                <w:kern w:val="0"/>
                <w:sz w:val="22"/>
                <w:szCs w:val="22"/>
              </w:rPr>
              <w:t>1.</w:t>
            </w:r>
            <w:r>
              <w:rPr>
                <w:rFonts w:hint="eastAsia" w:ascii="宋体" w:hAnsi="宋体"/>
                <w:color w:val="000000"/>
                <w:kern w:val="0"/>
                <w:sz w:val="22"/>
                <w:szCs w:val="22"/>
              </w:rPr>
              <w:t>发现坑洞未及时修复，超过</w:t>
            </w:r>
            <w:r>
              <w:rPr>
                <w:color w:val="000000"/>
                <w:kern w:val="0"/>
                <w:sz w:val="22"/>
                <w:szCs w:val="22"/>
              </w:rPr>
              <w:t>1</w:t>
            </w:r>
            <w:r>
              <w:rPr>
                <w:rFonts w:hint="eastAsia" w:ascii="宋体" w:hAnsi="宋体"/>
                <w:color w:val="000000"/>
                <w:kern w:val="0"/>
                <w:sz w:val="22"/>
                <w:szCs w:val="22"/>
              </w:rPr>
              <w:t>平米的每处扣</w:t>
            </w:r>
            <w:r>
              <w:rPr>
                <w:color w:val="000000"/>
                <w:kern w:val="0"/>
                <w:sz w:val="22"/>
                <w:szCs w:val="22"/>
              </w:rPr>
              <w:t>0.1</w:t>
            </w:r>
            <w:r>
              <w:rPr>
                <w:rFonts w:hint="eastAsia" w:ascii="宋体" w:hAnsi="宋体"/>
                <w:color w:val="000000"/>
                <w:kern w:val="0"/>
                <w:sz w:val="22"/>
                <w:szCs w:val="22"/>
              </w:rPr>
              <w:t>分；最多扣</w:t>
            </w:r>
            <w:r>
              <w:rPr>
                <w:color w:val="000000"/>
                <w:kern w:val="0"/>
                <w:sz w:val="22"/>
                <w:szCs w:val="22"/>
              </w:rPr>
              <w:t>2</w:t>
            </w:r>
            <w:r>
              <w:rPr>
                <w:rFonts w:hint="eastAsia" w:ascii="宋体" w:hAnsi="宋体"/>
                <w:color w:val="000000"/>
                <w:kern w:val="0"/>
                <w:sz w:val="22"/>
                <w:szCs w:val="22"/>
              </w:rPr>
              <w:t>分。</w:t>
            </w:r>
          </w:p>
          <w:p w14:paraId="78F0422E">
            <w:pPr>
              <w:widowControl/>
              <w:jc w:val="left"/>
              <w:rPr>
                <w:rFonts w:ascii="宋体" w:hAnsi="宋体"/>
                <w:color w:val="000000"/>
                <w:kern w:val="0"/>
                <w:sz w:val="22"/>
                <w:szCs w:val="22"/>
              </w:rPr>
            </w:pPr>
            <w:r>
              <w:rPr>
                <w:color w:val="000000"/>
                <w:kern w:val="0"/>
                <w:sz w:val="22"/>
                <w:szCs w:val="22"/>
              </w:rPr>
              <w:t>2.</w:t>
            </w:r>
            <w:r>
              <w:rPr>
                <w:rFonts w:hint="eastAsia" w:ascii="宋体" w:hAnsi="宋体"/>
                <w:color w:val="000000"/>
                <w:kern w:val="0"/>
                <w:sz w:val="22"/>
                <w:szCs w:val="22"/>
              </w:rPr>
              <w:t>路面裂缝未及时封闭的每处扣</w:t>
            </w:r>
            <w:r>
              <w:rPr>
                <w:color w:val="000000"/>
                <w:kern w:val="0"/>
                <w:sz w:val="22"/>
                <w:szCs w:val="22"/>
              </w:rPr>
              <w:t>0.1</w:t>
            </w:r>
            <w:r>
              <w:rPr>
                <w:rFonts w:hint="eastAsia" w:ascii="宋体" w:hAnsi="宋体"/>
                <w:color w:val="000000"/>
                <w:kern w:val="0"/>
                <w:sz w:val="22"/>
                <w:szCs w:val="22"/>
              </w:rPr>
              <w:t>分；最多扣</w:t>
            </w:r>
            <w:r>
              <w:rPr>
                <w:color w:val="000000"/>
                <w:kern w:val="0"/>
                <w:sz w:val="22"/>
                <w:szCs w:val="22"/>
              </w:rPr>
              <w:t>2</w:t>
            </w:r>
            <w:r>
              <w:rPr>
                <w:rFonts w:hint="eastAsia" w:ascii="宋体" w:hAnsi="宋体"/>
                <w:color w:val="000000"/>
                <w:kern w:val="0"/>
                <w:sz w:val="22"/>
                <w:szCs w:val="22"/>
              </w:rPr>
              <w:t>分。</w:t>
            </w:r>
          </w:p>
          <w:p w14:paraId="3427D686">
            <w:pPr>
              <w:widowControl/>
              <w:jc w:val="left"/>
              <w:rPr>
                <w:rFonts w:ascii="宋体" w:hAnsi="宋体"/>
                <w:color w:val="000000"/>
                <w:kern w:val="0"/>
                <w:sz w:val="22"/>
                <w:szCs w:val="22"/>
              </w:rPr>
            </w:pPr>
            <w:r>
              <w:rPr>
                <w:color w:val="000000"/>
                <w:kern w:val="0"/>
                <w:sz w:val="22"/>
                <w:szCs w:val="22"/>
              </w:rPr>
              <w:t>3.</w:t>
            </w:r>
            <w:r>
              <w:rPr>
                <w:rFonts w:hint="eastAsia" w:ascii="宋体" w:hAnsi="宋体"/>
                <w:color w:val="000000"/>
                <w:kern w:val="0"/>
                <w:sz w:val="22"/>
                <w:szCs w:val="22"/>
              </w:rPr>
              <w:t>路面长期存在垃圾未清理情况的每处扣</w:t>
            </w:r>
            <w:r>
              <w:rPr>
                <w:color w:val="000000"/>
                <w:kern w:val="0"/>
                <w:sz w:val="22"/>
                <w:szCs w:val="22"/>
              </w:rPr>
              <w:t>0.05</w:t>
            </w:r>
            <w:r>
              <w:rPr>
                <w:rFonts w:hint="eastAsia" w:ascii="宋体" w:hAnsi="宋体"/>
                <w:color w:val="000000"/>
                <w:kern w:val="0"/>
                <w:sz w:val="22"/>
                <w:szCs w:val="22"/>
              </w:rPr>
              <w:t>分；最多扣</w:t>
            </w:r>
            <w:r>
              <w:rPr>
                <w:color w:val="000000"/>
                <w:kern w:val="0"/>
                <w:sz w:val="22"/>
                <w:szCs w:val="22"/>
              </w:rPr>
              <w:t>1</w:t>
            </w:r>
            <w:r>
              <w:rPr>
                <w:rFonts w:hint="eastAsia" w:ascii="宋体" w:hAnsi="宋体"/>
                <w:color w:val="000000"/>
                <w:kern w:val="0"/>
                <w:sz w:val="22"/>
                <w:szCs w:val="22"/>
              </w:rPr>
              <w:t>分。</w:t>
            </w:r>
          </w:p>
          <w:p w14:paraId="775D973C">
            <w:pPr>
              <w:widowControl/>
              <w:jc w:val="left"/>
              <w:rPr>
                <w:color w:val="000000"/>
                <w:kern w:val="0"/>
                <w:sz w:val="22"/>
                <w:szCs w:val="22"/>
              </w:rPr>
            </w:pPr>
            <w:r>
              <w:rPr>
                <w:color w:val="000000"/>
                <w:kern w:val="0"/>
                <w:sz w:val="22"/>
                <w:szCs w:val="22"/>
              </w:rPr>
              <w:t>4.</w:t>
            </w:r>
            <w:r>
              <w:rPr>
                <w:rFonts w:hint="eastAsia" w:ascii="宋体" w:hAnsi="宋体"/>
                <w:color w:val="000000"/>
                <w:kern w:val="0"/>
                <w:sz w:val="22"/>
                <w:szCs w:val="22"/>
              </w:rPr>
              <w:t>未按规范要求处理沥青路面的泛油、拥包、裂缝、松散等每处扣</w:t>
            </w:r>
            <w:r>
              <w:rPr>
                <w:color w:val="000000"/>
                <w:kern w:val="0"/>
                <w:sz w:val="22"/>
                <w:szCs w:val="22"/>
              </w:rPr>
              <w:t>0.05</w:t>
            </w:r>
            <w:r>
              <w:rPr>
                <w:rFonts w:hint="eastAsia" w:ascii="宋体" w:hAnsi="宋体"/>
                <w:color w:val="000000"/>
                <w:kern w:val="0"/>
                <w:sz w:val="22"/>
                <w:szCs w:val="22"/>
              </w:rPr>
              <w:t>分；最多扣</w:t>
            </w:r>
            <w:r>
              <w:rPr>
                <w:color w:val="000000"/>
                <w:kern w:val="0"/>
                <w:sz w:val="22"/>
                <w:szCs w:val="22"/>
              </w:rPr>
              <w:t>1</w:t>
            </w:r>
            <w:r>
              <w:rPr>
                <w:rFonts w:hint="eastAsia" w:ascii="宋体" w:hAnsi="宋体"/>
                <w:color w:val="000000"/>
                <w:kern w:val="0"/>
                <w:sz w:val="22"/>
                <w:szCs w:val="22"/>
              </w:rPr>
              <w:t>分。</w:t>
            </w:r>
          </w:p>
        </w:tc>
      </w:tr>
      <w:tr w14:paraId="6B0C5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704" w:type="dxa"/>
            <w:shd w:val="clear" w:color="auto" w:fill="auto"/>
            <w:noWrap/>
            <w:vAlign w:val="center"/>
          </w:tcPr>
          <w:p w14:paraId="30DCB981">
            <w:pPr>
              <w:widowControl/>
              <w:jc w:val="center"/>
              <w:rPr>
                <w:color w:val="000000"/>
                <w:kern w:val="0"/>
                <w:sz w:val="22"/>
                <w:szCs w:val="22"/>
              </w:rPr>
            </w:pPr>
            <w:r>
              <w:rPr>
                <w:color w:val="000000"/>
                <w:kern w:val="0"/>
                <w:sz w:val="22"/>
                <w:szCs w:val="22"/>
              </w:rPr>
              <w:t>7</w:t>
            </w:r>
          </w:p>
        </w:tc>
        <w:tc>
          <w:tcPr>
            <w:tcW w:w="1139" w:type="dxa"/>
            <w:vMerge w:val="continue"/>
            <w:vAlign w:val="center"/>
          </w:tcPr>
          <w:p w14:paraId="1EC5485B">
            <w:pPr>
              <w:widowControl/>
              <w:jc w:val="left"/>
              <w:rPr>
                <w:color w:val="000000"/>
                <w:kern w:val="0"/>
                <w:sz w:val="22"/>
                <w:szCs w:val="22"/>
              </w:rPr>
            </w:pPr>
          </w:p>
        </w:tc>
        <w:tc>
          <w:tcPr>
            <w:tcW w:w="1335" w:type="dxa"/>
            <w:vMerge w:val="continue"/>
            <w:vAlign w:val="center"/>
          </w:tcPr>
          <w:p w14:paraId="11759145">
            <w:pPr>
              <w:widowControl/>
              <w:jc w:val="left"/>
              <w:rPr>
                <w:color w:val="000000"/>
                <w:kern w:val="0"/>
                <w:sz w:val="22"/>
                <w:szCs w:val="22"/>
              </w:rPr>
            </w:pPr>
          </w:p>
        </w:tc>
        <w:tc>
          <w:tcPr>
            <w:tcW w:w="1560" w:type="dxa"/>
            <w:shd w:val="clear" w:color="auto" w:fill="auto"/>
            <w:vAlign w:val="center"/>
          </w:tcPr>
          <w:p w14:paraId="6652BF1C">
            <w:pPr>
              <w:widowControl/>
              <w:jc w:val="left"/>
              <w:rPr>
                <w:color w:val="000000"/>
                <w:kern w:val="0"/>
                <w:sz w:val="22"/>
                <w:szCs w:val="22"/>
              </w:rPr>
            </w:pPr>
            <w:r>
              <w:rPr>
                <w:rFonts w:hint="eastAsia" w:ascii="宋体" w:hAnsi="宋体"/>
                <w:color w:val="000000"/>
                <w:kern w:val="0"/>
                <w:sz w:val="22"/>
                <w:szCs w:val="22"/>
              </w:rPr>
              <w:t>路基维修</w:t>
            </w:r>
          </w:p>
        </w:tc>
        <w:tc>
          <w:tcPr>
            <w:tcW w:w="708" w:type="dxa"/>
            <w:shd w:val="clear" w:color="auto" w:fill="auto"/>
            <w:noWrap/>
            <w:vAlign w:val="center"/>
          </w:tcPr>
          <w:p w14:paraId="0F7A741C">
            <w:pPr>
              <w:widowControl/>
              <w:jc w:val="center"/>
              <w:rPr>
                <w:color w:val="000000"/>
                <w:kern w:val="0"/>
                <w:sz w:val="22"/>
                <w:szCs w:val="22"/>
              </w:rPr>
            </w:pPr>
            <w:r>
              <w:rPr>
                <w:color w:val="000000"/>
                <w:kern w:val="0"/>
                <w:sz w:val="22"/>
                <w:szCs w:val="22"/>
              </w:rPr>
              <w:t>5</w:t>
            </w:r>
          </w:p>
        </w:tc>
        <w:tc>
          <w:tcPr>
            <w:tcW w:w="1358" w:type="dxa"/>
            <w:shd w:val="clear" w:color="auto" w:fill="auto"/>
            <w:vAlign w:val="center"/>
          </w:tcPr>
          <w:p w14:paraId="67C50EF7">
            <w:pPr>
              <w:widowControl/>
              <w:jc w:val="center"/>
              <w:rPr>
                <w:color w:val="000000"/>
                <w:kern w:val="0"/>
                <w:sz w:val="22"/>
                <w:szCs w:val="22"/>
              </w:rPr>
            </w:pPr>
            <w:r>
              <w:rPr>
                <w:rFonts w:hint="eastAsia" w:ascii="宋体" w:hAnsi="宋体"/>
                <w:color w:val="000000"/>
                <w:kern w:val="0"/>
                <w:sz w:val="22"/>
                <w:szCs w:val="22"/>
              </w:rPr>
              <w:t>实地调研</w:t>
            </w:r>
          </w:p>
        </w:tc>
        <w:tc>
          <w:tcPr>
            <w:tcW w:w="7453" w:type="dxa"/>
            <w:shd w:val="clear" w:color="auto" w:fill="auto"/>
            <w:vAlign w:val="center"/>
          </w:tcPr>
          <w:p w14:paraId="0DDC0DCC">
            <w:pPr>
              <w:widowControl/>
              <w:jc w:val="left"/>
              <w:rPr>
                <w:rFonts w:ascii="宋体" w:hAnsi="宋体"/>
                <w:color w:val="000000"/>
                <w:kern w:val="0"/>
                <w:sz w:val="22"/>
                <w:szCs w:val="22"/>
              </w:rPr>
            </w:pPr>
            <w:r>
              <w:rPr>
                <w:color w:val="000000"/>
                <w:kern w:val="0"/>
                <w:sz w:val="22"/>
                <w:szCs w:val="22"/>
              </w:rPr>
              <w:t>1.</w:t>
            </w:r>
            <w:r>
              <w:rPr>
                <w:rFonts w:hint="eastAsia" w:ascii="宋体" w:hAnsi="宋体"/>
                <w:color w:val="000000"/>
                <w:kern w:val="0"/>
                <w:sz w:val="22"/>
                <w:szCs w:val="22"/>
              </w:rPr>
              <w:t>存在局部冲刷的每处扣</w:t>
            </w:r>
            <w:r>
              <w:rPr>
                <w:color w:val="000000"/>
                <w:kern w:val="0"/>
                <w:sz w:val="22"/>
                <w:szCs w:val="22"/>
              </w:rPr>
              <w:t>0.05</w:t>
            </w:r>
            <w:r>
              <w:rPr>
                <w:rFonts w:hint="eastAsia" w:ascii="宋体" w:hAnsi="宋体"/>
                <w:color w:val="000000"/>
                <w:kern w:val="0"/>
                <w:sz w:val="22"/>
                <w:szCs w:val="22"/>
              </w:rPr>
              <w:t>分；最多扣</w:t>
            </w:r>
            <w:r>
              <w:rPr>
                <w:color w:val="000000"/>
                <w:kern w:val="0"/>
                <w:sz w:val="22"/>
                <w:szCs w:val="22"/>
              </w:rPr>
              <w:t>1</w:t>
            </w:r>
            <w:r>
              <w:rPr>
                <w:rFonts w:hint="eastAsia" w:ascii="宋体" w:hAnsi="宋体"/>
                <w:color w:val="000000"/>
                <w:kern w:val="0"/>
                <w:sz w:val="22"/>
                <w:szCs w:val="22"/>
              </w:rPr>
              <w:t>分。</w:t>
            </w:r>
          </w:p>
          <w:p w14:paraId="4E0A0C72">
            <w:pPr>
              <w:widowControl/>
              <w:jc w:val="left"/>
              <w:rPr>
                <w:rFonts w:ascii="宋体" w:hAnsi="宋体"/>
                <w:color w:val="000000"/>
                <w:kern w:val="0"/>
                <w:sz w:val="22"/>
                <w:szCs w:val="22"/>
              </w:rPr>
            </w:pPr>
            <w:r>
              <w:rPr>
                <w:color w:val="000000"/>
                <w:kern w:val="0"/>
                <w:sz w:val="22"/>
                <w:szCs w:val="22"/>
              </w:rPr>
              <w:t>2.</w:t>
            </w:r>
            <w:r>
              <w:rPr>
                <w:rFonts w:hint="eastAsia" w:ascii="宋体" w:hAnsi="宋体"/>
                <w:color w:val="000000"/>
                <w:kern w:val="0"/>
                <w:sz w:val="22"/>
                <w:szCs w:val="22"/>
              </w:rPr>
              <w:t>路肩未按要求修复的每处扣</w:t>
            </w:r>
            <w:r>
              <w:rPr>
                <w:color w:val="000000"/>
                <w:kern w:val="0"/>
                <w:sz w:val="22"/>
                <w:szCs w:val="22"/>
              </w:rPr>
              <w:t>0.05</w:t>
            </w:r>
            <w:r>
              <w:rPr>
                <w:rFonts w:hint="eastAsia" w:ascii="宋体" w:hAnsi="宋体"/>
                <w:color w:val="000000"/>
                <w:kern w:val="0"/>
                <w:sz w:val="22"/>
                <w:szCs w:val="22"/>
              </w:rPr>
              <w:t>分；最多扣</w:t>
            </w:r>
            <w:r>
              <w:rPr>
                <w:color w:val="000000"/>
                <w:kern w:val="0"/>
                <w:sz w:val="22"/>
                <w:szCs w:val="22"/>
              </w:rPr>
              <w:t>1</w:t>
            </w:r>
            <w:r>
              <w:rPr>
                <w:rFonts w:hint="eastAsia" w:ascii="宋体" w:hAnsi="宋体"/>
                <w:color w:val="000000"/>
                <w:kern w:val="0"/>
                <w:sz w:val="22"/>
                <w:szCs w:val="22"/>
              </w:rPr>
              <w:t>分。</w:t>
            </w:r>
          </w:p>
          <w:p w14:paraId="728C5A3C">
            <w:pPr>
              <w:widowControl/>
              <w:jc w:val="left"/>
              <w:rPr>
                <w:rFonts w:ascii="宋体" w:hAnsi="宋体"/>
                <w:color w:val="000000"/>
                <w:kern w:val="0"/>
                <w:sz w:val="22"/>
                <w:szCs w:val="22"/>
              </w:rPr>
            </w:pPr>
            <w:r>
              <w:rPr>
                <w:color w:val="000000"/>
                <w:kern w:val="0"/>
                <w:sz w:val="22"/>
                <w:szCs w:val="22"/>
              </w:rPr>
              <w:t>3.</w:t>
            </w:r>
            <w:r>
              <w:rPr>
                <w:rFonts w:hint="eastAsia" w:ascii="宋体" w:hAnsi="宋体"/>
                <w:color w:val="000000"/>
                <w:kern w:val="0"/>
                <w:sz w:val="22"/>
                <w:szCs w:val="22"/>
              </w:rPr>
              <w:t>未及时清除零星塌方，填补路基缺口，处理轻微尘陷翻浆的每处扣</w:t>
            </w:r>
            <w:r>
              <w:rPr>
                <w:color w:val="000000"/>
                <w:kern w:val="0"/>
                <w:sz w:val="22"/>
                <w:szCs w:val="22"/>
              </w:rPr>
              <w:t>0.1</w:t>
            </w:r>
            <w:r>
              <w:rPr>
                <w:rFonts w:hint="eastAsia" w:ascii="宋体" w:hAnsi="宋体"/>
                <w:color w:val="000000"/>
                <w:kern w:val="0"/>
                <w:sz w:val="22"/>
                <w:szCs w:val="22"/>
              </w:rPr>
              <w:t>分；最多扣</w:t>
            </w:r>
            <w:r>
              <w:rPr>
                <w:color w:val="000000"/>
                <w:kern w:val="0"/>
                <w:sz w:val="22"/>
                <w:szCs w:val="22"/>
              </w:rPr>
              <w:t>2</w:t>
            </w:r>
            <w:r>
              <w:rPr>
                <w:rFonts w:hint="eastAsia" w:ascii="宋体" w:hAnsi="宋体"/>
                <w:color w:val="000000"/>
                <w:kern w:val="0"/>
                <w:sz w:val="22"/>
                <w:szCs w:val="22"/>
              </w:rPr>
              <w:t>分。</w:t>
            </w:r>
          </w:p>
          <w:p w14:paraId="0D6EB46C">
            <w:pPr>
              <w:widowControl/>
              <w:jc w:val="left"/>
              <w:rPr>
                <w:color w:val="000000"/>
                <w:kern w:val="0"/>
                <w:sz w:val="22"/>
                <w:szCs w:val="22"/>
              </w:rPr>
            </w:pPr>
            <w:r>
              <w:rPr>
                <w:color w:val="000000"/>
                <w:kern w:val="0"/>
                <w:sz w:val="22"/>
                <w:szCs w:val="22"/>
              </w:rPr>
              <w:t>4.</w:t>
            </w:r>
            <w:r>
              <w:rPr>
                <w:rFonts w:hint="eastAsia" w:ascii="宋体" w:hAnsi="宋体"/>
                <w:color w:val="000000"/>
                <w:kern w:val="0"/>
                <w:sz w:val="22"/>
                <w:szCs w:val="22"/>
              </w:rPr>
              <w:t>未按业主要求处理桥头接线或桥头、涵顶跳车的每处扣</w:t>
            </w:r>
            <w:r>
              <w:rPr>
                <w:color w:val="000000"/>
                <w:kern w:val="0"/>
                <w:sz w:val="22"/>
                <w:szCs w:val="22"/>
              </w:rPr>
              <w:t>0.05</w:t>
            </w:r>
            <w:r>
              <w:rPr>
                <w:rFonts w:hint="eastAsia" w:ascii="宋体" w:hAnsi="宋体"/>
                <w:color w:val="000000"/>
                <w:kern w:val="0"/>
                <w:sz w:val="22"/>
                <w:szCs w:val="22"/>
              </w:rPr>
              <w:t>分；最多扣</w:t>
            </w:r>
            <w:r>
              <w:rPr>
                <w:color w:val="000000"/>
                <w:kern w:val="0"/>
                <w:sz w:val="22"/>
                <w:szCs w:val="22"/>
              </w:rPr>
              <w:t>1</w:t>
            </w:r>
            <w:r>
              <w:rPr>
                <w:rFonts w:hint="eastAsia" w:ascii="宋体" w:hAnsi="宋体"/>
                <w:color w:val="000000"/>
                <w:kern w:val="0"/>
                <w:sz w:val="22"/>
                <w:szCs w:val="22"/>
              </w:rPr>
              <w:t>分。</w:t>
            </w:r>
          </w:p>
        </w:tc>
      </w:tr>
      <w:tr w14:paraId="56CBB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704" w:type="dxa"/>
            <w:shd w:val="clear" w:color="auto" w:fill="auto"/>
            <w:noWrap/>
            <w:vAlign w:val="center"/>
          </w:tcPr>
          <w:p w14:paraId="53ECE42A">
            <w:pPr>
              <w:widowControl/>
              <w:jc w:val="center"/>
              <w:rPr>
                <w:color w:val="000000"/>
                <w:kern w:val="0"/>
                <w:sz w:val="22"/>
                <w:szCs w:val="22"/>
              </w:rPr>
            </w:pPr>
            <w:r>
              <w:rPr>
                <w:color w:val="000000"/>
                <w:kern w:val="0"/>
                <w:sz w:val="22"/>
                <w:szCs w:val="22"/>
              </w:rPr>
              <w:t>8</w:t>
            </w:r>
          </w:p>
        </w:tc>
        <w:tc>
          <w:tcPr>
            <w:tcW w:w="1139" w:type="dxa"/>
            <w:vMerge w:val="continue"/>
            <w:vAlign w:val="center"/>
          </w:tcPr>
          <w:p w14:paraId="41F9FB7F">
            <w:pPr>
              <w:widowControl/>
              <w:jc w:val="left"/>
              <w:rPr>
                <w:color w:val="000000"/>
                <w:kern w:val="0"/>
                <w:sz w:val="22"/>
                <w:szCs w:val="22"/>
              </w:rPr>
            </w:pPr>
          </w:p>
        </w:tc>
        <w:tc>
          <w:tcPr>
            <w:tcW w:w="1335" w:type="dxa"/>
            <w:vMerge w:val="continue"/>
            <w:vAlign w:val="center"/>
          </w:tcPr>
          <w:p w14:paraId="2E32019E">
            <w:pPr>
              <w:widowControl/>
              <w:jc w:val="left"/>
              <w:rPr>
                <w:color w:val="000000"/>
                <w:kern w:val="0"/>
                <w:sz w:val="22"/>
                <w:szCs w:val="22"/>
              </w:rPr>
            </w:pPr>
          </w:p>
        </w:tc>
        <w:tc>
          <w:tcPr>
            <w:tcW w:w="1560" w:type="dxa"/>
            <w:shd w:val="clear" w:color="auto" w:fill="auto"/>
            <w:vAlign w:val="center"/>
          </w:tcPr>
          <w:p w14:paraId="4F74D301">
            <w:pPr>
              <w:widowControl/>
              <w:jc w:val="left"/>
              <w:rPr>
                <w:color w:val="000000"/>
                <w:kern w:val="0"/>
                <w:sz w:val="22"/>
                <w:szCs w:val="22"/>
              </w:rPr>
            </w:pPr>
            <w:r>
              <w:rPr>
                <w:rFonts w:hint="eastAsia" w:ascii="宋体" w:hAnsi="宋体"/>
                <w:color w:val="000000"/>
                <w:kern w:val="0"/>
                <w:sz w:val="22"/>
                <w:szCs w:val="22"/>
              </w:rPr>
              <w:t>道路排水沟不淤塞</w:t>
            </w:r>
          </w:p>
        </w:tc>
        <w:tc>
          <w:tcPr>
            <w:tcW w:w="708" w:type="dxa"/>
            <w:shd w:val="clear" w:color="auto" w:fill="auto"/>
            <w:noWrap/>
            <w:vAlign w:val="center"/>
          </w:tcPr>
          <w:p w14:paraId="4FCFA794">
            <w:pPr>
              <w:widowControl/>
              <w:jc w:val="center"/>
              <w:rPr>
                <w:color w:val="000000"/>
                <w:kern w:val="0"/>
                <w:sz w:val="22"/>
                <w:szCs w:val="22"/>
              </w:rPr>
            </w:pPr>
            <w:r>
              <w:rPr>
                <w:color w:val="000000"/>
                <w:kern w:val="0"/>
                <w:sz w:val="22"/>
                <w:szCs w:val="22"/>
              </w:rPr>
              <w:t>4</w:t>
            </w:r>
          </w:p>
        </w:tc>
        <w:tc>
          <w:tcPr>
            <w:tcW w:w="1358" w:type="dxa"/>
            <w:shd w:val="clear" w:color="auto" w:fill="auto"/>
            <w:vAlign w:val="center"/>
          </w:tcPr>
          <w:p w14:paraId="6C5CA6EA">
            <w:pPr>
              <w:widowControl/>
              <w:jc w:val="center"/>
              <w:rPr>
                <w:color w:val="000000"/>
                <w:kern w:val="0"/>
                <w:sz w:val="22"/>
                <w:szCs w:val="22"/>
              </w:rPr>
            </w:pPr>
            <w:r>
              <w:rPr>
                <w:rFonts w:hint="eastAsia" w:ascii="宋体" w:hAnsi="宋体"/>
                <w:color w:val="000000"/>
                <w:kern w:val="0"/>
                <w:sz w:val="22"/>
                <w:szCs w:val="22"/>
              </w:rPr>
              <w:t>实地调研</w:t>
            </w:r>
          </w:p>
        </w:tc>
        <w:tc>
          <w:tcPr>
            <w:tcW w:w="7453" w:type="dxa"/>
            <w:shd w:val="clear" w:color="auto" w:fill="auto"/>
            <w:vAlign w:val="center"/>
          </w:tcPr>
          <w:p w14:paraId="397C4A28">
            <w:pPr>
              <w:widowControl/>
              <w:jc w:val="left"/>
              <w:rPr>
                <w:rFonts w:ascii="宋体" w:hAnsi="宋体"/>
                <w:color w:val="000000"/>
                <w:kern w:val="0"/>
                <w:sz w:val="22"/>
                <w:szCs w:val="22"/>
              </w:rPr>
            </w:pPr>
            <w:r>
              <w:rPr>
                <w:color w:val="000000"/>
                <w:kern w:val="0"/>
                <w:sz w:val="22"/>
                <w:szCs w:val="22"/>
              </w:rPr>
              <w:t>1.</w:t>
            </w:r>
            <w:r>
              <w:rPr>
                <w:rFonts w:hint="eastAsia" w:ascii="宋体" w:hAnsi="宋体"/>
                <w:color w:val="000000"/>
                <w:kern w:val="0"/>
                <w:sz w:val="22"/>
                <w:szCs w:val="22"/>
              </w:rPr>
              <w:t>发现排水系统杂物导致淤塞的每处扣</w:t>
            </w:r>
            <w:r>
              <w:rPr>
                <w:color w:val="000000"/>
                <w:kern w:val="0"/>
                <w:sz w:val="22"/>
                <w:szCs w:val="22"/>
              </w:rPr>
              <w:t>0.1</w:t>
            </w:r>
            <w:r>
              <w:rPr>
                <w:rFonts w:hint="eastAsia" w:ascii="宋体" w:hAnsi="宋体"/>
                <w:color w:val="000000"/>
                <w:kern w:val="0"/>
                <w:sz w:val="22"/>
                <w:szCs w:val="22"/>
              </w:rPr>
              <w:t>分；最多扣</w:t>
            </w:r>
            <w:r>
              <w:rPr>
                <w:color w:val="000000"/>
                <w:kern w:val="0"/>
                <w:sz w:val="22"/>
                <w:szCs w:val="22"/>
              </w:rPr>
              <w:t>2</w:t>
            </w:r>
            <w:r>
              <w:rPr>
                <w:rFonts w:hint="eastAsia" w:ascii="宋体" w:hAnsi="宋体"/>
                <w:color w:val="000000"/>
                <w:kern w:val="0"/>
                <w:sz w:val="22"/>
                <w:szCs w:val="22"/>
              </w:rPr>
              <w:t>分。</w:t>
            </w:r>
          </w:p>
          <w:p w14:paraId="7035B0C7">
            <w:pPr>
              <w:widowControl/>
              <w:jc w:val="left"/>
              <w:rPr>
                <w:color w:val="000000"/>
                <w:kern w:val="0"/>
                <w:sz w:val="22"/>
                <w:szCs w:val="22"/>
              </w:rPr>
            </w:pPr>
            <w:r>
              <w:rPr>
                <w:color w:val="000000"/>
                <w:kern w:val="0"/>
                <w:sz w:val="22"/>
                <w:szCs w:val="22"/>
              </w:rPr>
              <w:t>2.</w:t>
            </w:r>
            <w:r>
              <w:rPr>
                <w:rFonts w:hint="eastAsia" w:ascii="宋体" w:hAnsi="宋体"/>
                <w:color w:val="000000"/>
                <w:kern w:val="0"/>
                <w:sz w:val="22"/>
                <w:szCs w:val="22"/>
              </w:rPr>
              <w:t>发现排水沟破损的每处扣</w:t>
            </w:r>
            <w:r>
              <w:rPr>
                <w:color w:val="000000"/>
                <w:kern w:val="0"/>
                <w:sz w:val="22"/>
                <w:szCs w:val="22"/>
              </w:rPr>
              <w:t>0.1</w:t>
            </w:r>
            <w:r>
              <w:rPr>
                <w:rFonts w:hint="eastAsia" w:ascii="宋体" w:hAnsi="宋体"/>
                <w:color w:val="000000"/>
                <w:kern w:val="0"/>
                <w:sz w:val="22"/>
                <w:szCs w:val="22"/>
              </w:rPr>
              <w:t>分；最多扣</w:t>
            </w:r>
            <w:r>
              <w:rPr>
                <w:color w:val="000000"/>
                <w:kern w:val="0"/>
                <w:sz w:val="22"/>
                <w:szCs w:val="22"/>
              </w:rPr>
              <w:t>2</w:t>
            </w:r>
            <w:r>
              <w:rPr>
                <w:rFonts w:hint="eastAsia" w:ascii="宋体" w:hAnsi="宋体"/>
                <w:color w:val="000000"/>
                <w:kern w:val="0"/>
                <w:sz w:val="22"/>
                <w:szCs w:val="22"/>
              </w:rPr>
              <w:t>分。</w:t>
            </w:r>
          </w:p>
        </w:tc>
      </w:tr>
      <w:tr w14:paraId="53708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04" w:type="dxa"/>
            <w:shd w:val="clear" w:color="auto" w:fill="auto"/>
            <w:noWrap/>
            <w:vAlign w:val="center"/>
          </w:tcPr>
          <w:p w14:paraId="5F48129B">
            <w:pPr>
              <w:widowControl/>
              <w:jc w:val="center"/>
              <w:rPr>
                <w:color w:val="000000"/>
                <w:kern w:val="0"/>
                <w:sz w:val="22"/>
                <w:szCs w:val="22"/>
              </w:rPr>
            </w:pPr>
            <w:r>
              <w:rPr>
                <w:color w:val="000000"/>
                <w:kern w:val="0"/>
                <w:sz w:val="22"/>
                <w:szCs w:val="22"/>
              </w:rPr>
              <w:t>9</w:t>
            </w:r>
          </w:p>
        </w:tc>
        <w:tc>
          <w:tcPr>
            <w:tcW w:w="1139" w:type="dxa"/>
            <w:vMerge w:val="continue"/>
            <w:vAlign w:val="center"/>
          </w:tcPr>
          <w:p w14:paraId="6AFEBD3E">
            <w:pPr>
              <w:widowControl/>
              <w:jc w:val="left"/>
              <w:rPr>
                <w:color w:val="000000"/>
                <w:kern w:val="0"/>
                <w:sz w:val="22"/>
                <w:szCs w:val="22"/>
              </w:rPr>
            </w:pPr>
          </w:p>
        </w:tc>
        <w:tc>
          <w:tcPr>
            <w:tcW w:w="1335" w:type="dxa"/>
            <w:vMerge w:val="restart"/>
            <w:shd w:val="clear" w:color="auto" w:fill="auto"/>
            <w:noWrap/>
            <w:vAlign w:val="center"/>
          </w:tcPr>
          <w:p w14:paraId="49AED3CE">
            <w:pPr>
              <w:widowControl/>
              <w:jc w:val="center"/>
              <w:rPr>
                <w:rFonts w:ascii="宋体" w:hAnsi="宋体"/>
                <w:color w:val="000000"/>
                <w:kern w:val="0"/>
                <w:sz w:val="22"/>
                <w:szCs w:val="22"/>
              </w:rPr>
            </w:pPr>
            <w:r>
              <w:rPr>
                <w:rFonts w:hint="eastAsia" w:ascii="宋体" w:hAnsi="宋体"/>
                <w:color w:val="000000"/>
                <w:kern w:val="0"/>
                <w:sz w:val="22"/>
                <w:szCs w:val="22"/>
              </w:rPr>
              <w:t>结构物养护</w:t>
            </w:r>
          </w:p>
          <w:p w14:paraId="53006F69">
            <w:pPr>
              <w:widowControl/>
              <w:jc w:val="center"/>
              <w:rPr>
                <w:color w:val="000000"/>
                <w:kern w:val="0"/>
                <w:sz w:val="22"/>
                <w:szCs w:val="22"/>
              </w:rPr>
            </w:pPr>
            <w:r>
              <w:rPr>
                <w:rFonts w:hint="eastAsia" w:ascii="宋体" w:hAnsi="宋体"/>
                <w:color w:val="000000"/>
                <w:kern w:val="0"/>
                <w:sz w:val="22"/>
                <w:szCs w:val="22"/>
              </w:rPr>
              <w:t>（15分）</w:t>
            </w:r>
          </w:p>
        </w:tc>
        <w:tc>
          <w:tcPr>
            <w:tcW w:w="1560" w:type="dxa"/>
            <w:shd w:val="clear" w:color="auto" w:fill="auto"/>
            <w:vAlign w:val="center"/>
          </w:tcPr>
          <w:p w14:paraId="52BEE65C">
            <w:pPr>
              <w:widowControl/>
              <w:jc w:val="left"/>
              <w:rPr>
                <w:color w:val="000000"/>
                <w:kern w:val="0"/>
                <w:sz w:val="22"/>
                <w:szCs w:val="22"/>
              </w:rPr>
            </w:pPr>
            <w:r>
              <w:rPr>
                <w:rFonts w:hint="eastAsia" w:ascii="宋体" w:hAnsi="宋体"/>
                <w:color w:val="000000"/>
                <w:kern w:val="0"/>
                <w:sz w:val="22"/>
                <w:szCs w:val="22"/>
              </w:rPr>
              <w:t>泄水孔不堵塞无损坏</w:t>
            </w:r>
          </w:p>
        </w:tc>
        <w:tc>
          <w:tcPr>
            <w:tcW w:w="708" w:type="dxa"/>
            <w:shd w:val="clear" w:color="auto" w:fill="auto"/>
            <w:noWrap/>
            <w:vAlign w:val="center"/>
          </w:tcPr>
          <w:p w14:paraId="009841C0">
            <w:pPr>
              <w:widowControl/>
              <w:jc w:val="center"/>
              <w:rPr>
                <w:color w:val="000000"/>
                <w:kern w:val="0"/>
                <w:sz w:val="22"/>
                <w:szCs w:val="22"/>
              </w:rPr>
            </w:pPr>
            <w:r>
              <w:rPr>
                <w:color w:val="000000"/>
                <w:kern w:val="0"/>
                <w:sz w:val="22"/>
                <w:szCs w:val="22"/>
              </w:rPr>
              <w:t>1</w:t>
            </w:r>
          </w:p>
        </w:tc>
        <w:tc>
          <w:tcPr>
            <w:tcW w:w="1358" w:type="dxa"/>
            <w:shd w:val="clear" w:color="auto" w:fill="auto"/>
            <w:vAlign w:val="center"/>
          </w:tcPr>
          <w:p w14:paraId="6C1F0C8F">
            <w:pPr>
              <w:widowControl/>
              <w:jc w:val="center"/>
              <w:rPr>
                <w:color w:val="000000"/>
                <w:kern w:val="0"/>
                <w:sz w:val="22"/>
                <w:szCs w:val="22"/>
              </w:rPr>
            </w:pPr>
            <w:r>
              <w:rPr>
                <w:rFonts w:hint="eastAsia" w:ascii="宋体" w:hAnsi="宋体"/>
                <w:color w:val="000000"/>
                <w:kern w:val="0"/>
                <w:sz w:val="22"/>
                <w:szCs w:val="22"/>
              </w:rPr>
              <w:t>实地调研</w:t>
            </w:r>
          </w:p>
        </w:tc>
        <w:tc>
          <w:tcPr>
            <w:tcW w:w="7453" w:type="dxa"/>
            <w:shd w:val="clear" w:color="auto" w:fill="auto"/>
            <w:vAlign w:val="center"/>
          </w:tcPr>
          <w:p w14:paraId="7E31B16C">
            <w:pPr>
              <w:widowControl/>
              <w:jc w:val="left"/>
              <w:rPr>
                <w:color w:val="000000"/>
                <w:kern w:val="0"/>
                <w:sz w:val="22"/>
                <w:szCs w:val="22"/>
              </w:rPr>
            </w:pPr>
            <w:r>
              <w:rPr>
                <w:color w:val="000000"/>
                <w:kern w:val="0"/>
                <w:sz w:val="22"/>
                <w:szCs w:val="22"/>
              </w:rPr>
              <w:t>1.</w:t>
            </w:r>
            <w:r>
              <w:rPr>
                <w:rFonts w:hint="eastAsia" w:ascii="宋体" w:hAnsi="宋体"/>
                <w:color w:val="000000"/>
                <w:kern w:val="0"/>
                <w:sz w:val="22"/>
                <w:szCs w:val="22"/>
              </w:rPr>
              <w:t>发现泄水孔堵塞、损坏的每处扣</w:t>
            </w:r>
            <w:r>
              <w:rPr>
                <w:color w:val="000000"/>
                <w:kern w:val="0"/>
                <w:sz w:val="22"/>
                <w:szCs w:val="22"/>
              </w:rPr>
              <w:t>0.05</w:t>
            </w:r>
            <w:r>
              <w:rPr>
                <w:rFonts w:hint="eastAsia" w:ascii="宋体" w:hAnsi="宋体"/>
                <w:color w:val="000000"/>
                <w:kern w:val="0"/>
                <w:sz w:val="22"/>
                <w:szCs w:val="22"/>
              </w:rPr>
              <w:t>分；最多扣</w:t>
            </w:r>
            <w:r>
              <w:rPr>
                <w:color w:val="000000"/>
                <w:kern w:val="0"/>
                <w:sz w:val="22"/>
                <w:szCs w:val="22"/>
              </w:rPr>
              <w:t>1</w:t>
            </w:r>
            <w:r>
              <w:rPr>
                <w:rFonts w:hint="eastAsia" w:ascii="宋体" w:hAnsi="宋体"/>
                <w:color w:val="000000"/>
                <w:kern w:val="0"/>
                <w:sz w:val="22"/>
                <w:szCs w:val="22"/>
              </w:rPr>
              <w:t>分。</w:t>
            </w:r>
          </w:p>
        </w:tc>
      </w:tr>
      <w:tr w14:paraId="105E1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704" w:type="dxa"/>
            <w:shd w:val="clear" w:color="auto" w:fill="auto"/>
            <w:noWrap/>
            <w:vAlign w:val="center"/>
          </w:tcPr>
          <w:p w14:paraId="1E3D1C9C">
            <w:pPr>
              <w:widowControl/>
              <w:jc w:val="center"/>
              <w:rPr>
                <w:color w:val="000000"/>
                <w:kern w:val="0"/>
                <w:sz w:val="22"/>
                <w:szCs w:val="22"/>
              </w:rPr>
            </w:pPr>
            <w:r>
              <w:rPr>
                <w:rFonts w:hint="eastAsia"/>
                <w:color w:val="000000"/>
                <w:kern w:val="0"/>
                <w:sz w:val="22"/>
                <w:szCs w:val="22"/>
              </w:rPr>
              <w:t>1</w:t>
            </w:r>
            <w:r>
              <w:rPr>
                <w:color w:val="000000"/>
                <w:kern w:val="0"/>
                <w:sz w:val="22"/>
                <w:szCs w:val="22"/>
              </w:rPr>
              <w:t>0</w:t>
            </w:r>
          </w:p>
        </w:tc>
        <w:tc>
          <w:tcPr>
            <w:tcW w:w="1139" w:type="dxa"/>
            <w:vMerge w:val="continue"/>
            <w:vAlign w:val="center"/>
          </w:tcPr>
          <w:p w14:paraId="297F4060">
            <w:pPr>
              <w:widowControl/>
              <w:jc w:val="left"/>
              <w:rPr>
                <w:color w:val="000000"/>
                <w:kern w:val="0"/>
                <w:sz w:val="22"/>
                <w:szCs w:val="22"/>
              </w:rPr>
            </w:pPr>
          </w:p>
        </w:tc>
        <w:tc>
          <w:tcPr>
            <w:tcW w:w="1335" w:type="dxa"/>
            <w:vMerge w:val="continue"/>
            <w:shd w:val="clear" w:color="auto" w:fill="auto"/>
            <w:noWrap/>
            <w:vAlign w:val="center"/>
          </w:tcPr>
          <w:p w14:paraId="11D56317">
            <w:pPr>
              <w:widowControl/>
              <w:jc w:val="center"/>
              <w:rPr>
                <w:rFonts w:ascii="宋体" w:hAnsi="宋体"/>
                <w:color w:val="000000"/>
                <w:kern w:val="0"/>
                <w:sz w:val="22"/>
                <w:szCs w:val="22"/>
              </w:rPr>
            </w:pPr>
          </w:p>
        </w:tc>
        <w:tc>
          <w:tcPr>
            <w:tcW w:w="1560" w:type="dxa"/>
            <w:shd w:val="clear" w:color="auto" w:fill="auto"/>
            <w:vAlign w:val="center"/>
          </w:tcPr>
          <w:p w14:paraId="42473662">
            <w:pPr>
              <w:widowControl/>
              <w:jc w:val="left"/>
              <w:rPr>
                <w:rFonts w:ascii="宋体" w:hAnsi="宋体"/>
                <w:color w:val="000000"/>
                <w:kern w:val="0"/>
                <w:sz w:val="22"/>
                <w:szCs w:val="22"/>
              </w:rPr>
            </w:pPr>
            <w:r>
              <w:rPr>
                <w:rFonts w:ascii="宋体" w:hAnsi="宋体"/>
                <w:color w:val="000000"/>
                <w:kern w:val="0"/>
                <w:sz w:val="22"/>
                <w:szCs w:val="22"/>
              </w:rPr>
              <w:t>桥梁修复及时</w:t>
            </w:r>
          </w:p>
        </w:tc>
        <w:tc>
          <w:tcPr>
            <w:tcW w:w="708" w:type="dxa"/>
            <w:shd w:val="clear" w:color="auto" w:fill="auto"/>
            <w:noWrap/>
            <w:vAlign w:val="center"/>
          </w:tcPr>
          <w:p w14:paraId="40FE1CF3">
            <w:pPr>
              <w:widowControl/>
              <w:jc w:val="center"/>
              <w:rPr>
                <w:color w:val="000000"/>
                <w:kern w:val="0"/>
                <w:sz w:val="22"/>
                <w:szCs w:val="22"/>
              </w:rPr>
            </w:pPr>
            <w:r>
              <w:rPr>
                <w:rFonts w:hint="eastAsia"/>
                <w:color w:val="000000"/>
                <w:kern w:val="0"/>
                <w:sz w:val="22"/>
                <w:szCs w:val="22"/>
              </w:rPr>
              <w:t>4</w:t>
            </w:r>
          </w:p>
        </w:tc>
        <w:tc>
          <w:tcPr>
            <w:tcW w:w="1358" w:type="dxa"/>
            <w:shd w:val="clear" w:color="auto" w:fill="auto"/>
            <w:vAlign w:val="center"/>
          </w:tcPr>
          <w:p w14:paraId="6FA97DD3">
            <w:pPr>
              <w:widowControl/>
              <w:jc w:val="center"/>
              <w:rPr>
                <w:rFonts w:ascii="宋体" w:hAnsi="宋体"/>
                <w:color w:val="000000"/>
                <w:kern w:val="0"/>
                <w:sz w:val="22"/>
                <w:szCs w:val="22"/>
              </w:rPr>
            </w:pPr>
            <w:r>
              <w:rPr>
                <w:rFonts w:hint="eastAsia" w:ascii="宋体" w:hAnsi="宋体"/>
                <w:color w:val="000000"/>
                <w:kern w:val="0"/>
                <w:sz w:val="22"/>
                <w:szCs w:val="22"/>
              </w:rPr>
              <w:t>实地调研、案卷研究</w:t>
            </w:r>
          </w:p>
        </w:tc>
        <w:tc>
          <w:tcPr>
            <w:tcW w:w="7453" w:type="dxa"/>
            <w:shd w:val="clear" w:color="auto" w:fill="auto"/>
            <w:vAlign w:val="center"/>
          </w:tcPr>
          <w:p w14:paraId="544D08E7">
            <w:pPr>
              <w:widowControl/>
              <w:jc w:val="left"/>
              <w:rPr>
                <w:color w:val="000000"/>
                <w:kern w:val="0"/>
                <w:sz w:val="22"/>
                <w:szCs w:val="22"/>
              </w:rPr>
            </w:pPr>
            <w:r>
              <w:rPr>
                <w:color w:val="000000"/>
                <w:kern w:val="0"/>
                <w:sz w:val="22"/>
                <w:szCs w:val="22"/>
              </w:rPr>
              <w:t>1.发现桥梁设施未按时限要求修复的每处扣0.1分；最多扣2 分。</w:t>
            </w:r>
          </w:p>
          <w:p w14:paraId="2A5B6C7F">
            <w:pPr>
              <w:widowControl/>
              <w:jc w:val="left"/>
              <w:rPr>
                <w:color w:val="000000"/>
                <w:kern w:val="0"/>
                <w:sz w:val="22"/>
                <w:szCs w:val="22"/>
              </w:rPr>
            </w:pPr>
            <w:r>
              <w:rPr>
                <w:color w:val="000000"/>
                <w:kern w:val="0"/>
                <w:sz w:val="22"/>
                <w:szCs w:val="22"/>
              </w:rPr>
              <w:t>2.发现桥梁局部坞工损害未修复的每处扣0.1分；最多扣2 分。</w:t>
            </w:r>
          </w:p>
        </w:tc>
      </w:tr>
      <w:tr w14:paraId="0E630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04" w:type="dxa"/>
            <w:shd w:val="clear" w:color="auto" w:fill="auto"/>
            <w:noWrap/>
            <w:vAlign w:val="center"/>
          </w:tcPr>
          <w:p w14:paraId="03C5479C">
            <w:pPr>
              <w:widowControl/>
              <w:jc w:val="center"/>
              <w:rPr>
                <w:color w:val="000000"/>
                <w:kern w:val="0"/>
                <w:sz w:val="22"/>
                <w:szCs w:val="22"/>
              </w:rPr>
            </w:pPr>
            <w:r>
              <w:rPr>
                <w:color w:val="000000"/>
                <w:kern w:val="0"/>
                <w:sz w:val="22"/>
                <w:szCs w:val="22"/>
              </w:rPr>
              <w:t>11</w:t>
            </w:r>
          </w:p>
        </w:tc>
        <w:tc>
          <w:tcPr>
            <w:tcW w:w="1139" w:type="dxa"/>
            <w:vMerge w:val="continue"/>
            <w:vAlign w:val="center"/>
          </w:tcPr>
          <w:p w14:paraId="4258ECDC">
            <w:pPr>
              <w:widowControl/>
              <w:jc w:val="left"/>
              <w:rPr>
                <w:color w:val="000000"/>
                <w:kern w:val="0"/>
                <w:sz w:val="22"/>
                <w:szCs w:val="22"/>
              </w:rPr>
            </w:pPr>
          </w:p>
        </w:tc>
        <w:tc>
          <w:tcPr>
            <w:tcW w:w="1335" w:type="dxa"/>
            <w:vMerge w:val="continue"/>
            <w:vAlign w:val="center"/>
          </w:tcPr>
          <w:p w14:paraId="68838ECF">
            <w:pPr>
              <w:widowControl/>
              <w:jc w:val="left"/>
              <w:rPr>
                <w:color w:val="000000"/>
                <w:kern w:val="0"/>
                <w:sz w:val="22"/>
                <w:szCs w:val="22"/>
              </w:rPr>
            </w:pPr>
          </w:p>
        </w:tc>
        <w:tc>
          <w:tcPr>
            <w:tcW w:w="1560" w:type="dxa"/>
            <w:shd w:val="clear" w:color="auto" w:fill="auto"/>
            <w:vAlign w:val="center"/>
          </w:tcPr>
          <w:p w14:paraId="1A0A81B4">
            <w:pPr>
              <w:widowControl/>
              <w:spacing w:line="600" w:lineRule="exact"/>
              <w:jc w:val="left"/>
              <w:rPr>
                <w:color w:val="000000"/>
                <w:kern w:val="0"/>
                <w:sz w:val="22"/>
                <w:szCs w:val="22"/>
              </w:rPr>
            </w:pPr>
            <w:r>
              <w:rPr>
                <w:rFonts w:hint="eastAsia" w:ascii="宋体" w:hAnsi="宋体"/>
                <w:color w:val="000000"/>
                <w:kern w:val="0"/>
                <w:sz w:val="22"/>
                <w:szCs w:val="22"/>
              </w:rPr>
              <w:t>桥梁设施完好</w:t>
            </w:r>
          </w:p>
        </w:tc>
        <w:tc>
          <w:tcPr>
            <w:tcW w:w="708" w:type="dxa"/>
            <w:shd w:val="clear" w:color="auto" w:fill="auto"/>
            <w:noWrap/>
            <w:vAlign w:val="center"/>
          </w:tcPr>
          <w:p w14:paraId="201E9C73">
            <w:pPr>
              <w:widowControl/>
              <w:spacing w:line="600" w:lineRule="exact"/>
              <w:ind w:firstLine="200"/>
              <w:rPr>
                <w:color w:val="000000"/>
                <w:kern w:val="0"/>
                <w:sz w:val="22"/>
                <w:szCs w:val="22"/>
              </w:rPr>
            </w:pPr>
            <w:r>
              <w:rPr>
                <w:color w:val="000000"/>
                <w:kern w:val="0"/>
                <w:sz w:val="22"/>
                <w:szCs w:val="22"/>
              </w:rPr>
              <w:t>4</w:t>
            </w:r>
          </w:p>
        </w:tc>
        <w:tc>
          <w:tcPr>
            <w:tcW w:w="1358" w:type="dxa"/>
            <w:shd w:val="clear" w:color="auto" w:fill="auto"/>
            <w:vAlign w:val="center"/>
          </w:tcPr>
          <w:p w14:paraId="5164BB3F">
            <w:pPr>
              <w:widowControl/>
              <w:spacing w:line="600" w:lineRule="exact"/>
              <w:ind w:firstLine="200"/>
              <w:jc w:val="center"/>
              <w:rPr>
                <w:color w:val="000000"/>
                <w:kern w:val="0"/>
                <w:sz w:val="22"/>
                <w:szCs w:val="22"/>
              </w:rPr>
            </w:pPr>
            <w:r>
              <w:rPr>
                <w:rFonts w:hint="eastAsia" w:ascii="宋体" w:hAnsi="宋体"/>
                <w:color w:val="000000"/>
                <w:kern w:val="0"/>
                <w:sz w:val="22"/>
                <w:szCs w:val="22"/>
              </w:rPr>
              <w:t>实地调研</w:t>
            </w:r>
          </w:p>
        </w:tc>
        <w:tc>
          <w:tcPr>
            <w:tcW w:w="7453" w:type="dxa"/>
            <w:shd w:val="clear" w:color="auto" w:fill="auto"/>
            <w:vAlign w:val="center"/>
          </w:tcPr>
          <w:p w14:paraId="20704711">
            <w:pPr>
              <w:widowControl/>
              <w:spacing w:line="600" w:lineRule="exact"/>
              <w:jc w:val="left"/>
              <w:rPr>
                <w:color w:val="000000"/>
                <w:kern w:val="0"/>
                <w:sz w:val="22"/>
                <w:szCs w:val="22"/>
              </w:rPr>
            </w:pPr>
            <w:r>
              <w:rPr>
                <w:rFonts w:hint="eastAsia" w:ascii="宋体" w:hAnsi="宋体"/>
                <w:color w:val="000000"/>
                <w:kern w:val="0"/>
                <w:sz w:val="22"/>
                <w:szCs w:val="22"/>
              </w:rPr>
              <w:t>桥梁设施完好，有损坏且维修不及时的，每发现一处扣</w:t>
            </w:r>
            <w:r>
              <w:rPr>
                <w:color w:val="000000"/>
                <w:kern w:val="0"/>
                <w:sz w:val="22"/>
                <w:szCs w:val="22"/>
              </w:rPr>
              <w:t>0.2</w:t>
            </w:r>
            <w:r>
              <w:rPr>
                <w:rFonts w:hint="eastAsia" w:ascii="宋体" w:hAnsi="宋体"/>
                <w:color w:val="000000"/>
                <w:kern w:val="0"/>
                <w:sz w:val="22"/>
                <w:szCs w:val="22"/>
              </w:rPr>
              <w:t>分。最多扣</w:t>
            </w:r>
            <w:r>
              <w:rPr>
                <w:color w:val="000000"/>
                <w:kern w:val="0"/>
                <w:sz w:val="22"/>
                <w:szCs w:val="22"/>
              </w:rPr>
              <w:t>4</w:t>
            </w:r>
            <w:r>
              <w:rPr>
                <w:rFonts w:hint="eastAsia" w:ascii="宋体" w:hAnsi="宋体"/>
                <w:color w:val="000000"/>
                <w:kern w:val="0"/>
                <w:sz w:val="22"/>
                <w:szCs w:val="22"/>
              </w:rPr>
              <w:t>分。</w:t>
            </w:r>
          </w:p>
        </w:tc>
      </w:tr>
      <w:tr w14:paraId="46832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704" w:type="dxa"/>
            <w:shd w:val="clear" w:color="auto" w:fill="auto"/>
            <w:noWrap/>
            <w:vAlign w:val="center"/>
          </w:tcPr>
          <w:p w14:paraId="094BD274">
            <w:pPr>
              <w:widowControl/>
              <w:jc w:val="center"/>
              <w:rPr>
                <w:color w:val="000000"/>
                <w:kern w:val="0"/>
                <w:sz w:val="22"/>
                <w:szCs w:val="22"/>
              </w:rPr>
            </w:pPr>
            <w:r>
              <w:rPr>
                <w:color w:val="000000"/>
                <w:kern w:val="0"/>
                <w:sz w:val="22"/>
                <w:szCs w:val="22"/>
              </w:rPr>
              <w:t>12</w:t>
            </w:r>
          </w:p>
        </w:tc>
        <w:tc>
          <w:tcPr>
            <w:tcW w:w="1139" w:type="dxa"/>
            <w:vMerge w:val="continue"/>
            <w:vAlign w:val="center"/>
          </w:tcPr>
          <w:p w14:paraId="3CD57053">
            <w:pPr>
              <w:widowControl/>
              <w:jc w:val="left"/>
              <w:rPr>
                <w:color w:val="000000"/>
                <w:kern w:val="0"/>
                <w:sz w:val="22"/>
                <w:szCs w:val="22"/>
              </w:rPr>
            </w:pPr>
          </w:p>
        </w:tc>
        <w:tc>
          <w:tcPr>
            <w:tcW w:w="1335" w:type="dxa"/>
            <w:vMerge w:val="continue"/>
            <w:vAlign w:val="center"/>
          </w:tcPr>
          <w:p w14:paraId="6343053B">
            <w:pPr>
              <w:widowControl/>
              <w:jc w:val="left"/>
              <w:rPr>
                <w:color w:val="000000"/>
                <w:kern w:val="0"/>
                <w:sz w:val="22"/>
                <w:szCs w:val="22"/>
              </w:rPr>
            </w:pPr>
          </w:p>
        </w:tc>
        <w:tc>
          <w:tcPr>
            <w:tcW w:w="1560" w:type="dxa"/>
            <w:shd w:val="clear" w:color="auto" w:fill="auto"/>
            <w:vAlign w:val="center"/>
          </w:tcPr>
          <w:p w14:paraId="1D2C838D">
            <w:pPr>
              <w:widowControl/>
              <w:jc w:val="left"/>
              <w:rPr>
                <w:color w:val="000000"/>
                <w:kern w:val="0"/>
                <w:sz w:val="22"/>
                <w:szCs w:val="22"/>
              </w:rPr>
            </w:pPr>
            <w:r>
              <w:rPr>
                <w:rFonts w:hint="eastAsia" w:ascii="宋体" w:hAnsi="宋体"/>
                <w:color w:val="000000"/>
                <w:kern w:val="0"/>
                <w:sz w:val="22"/>
                <w:szCs w:val="22"/>
              </w:rPr>
              <w:t>护岸结构稳定，无坍塌、砌块脱落</w:t>
            </w:r>
          </w:p>
        </w:tc>
        <w:tc>
          <w:tcPr>
            <w:tcW w:w="708" w:type="dxa"/>
            <w:shd w:val="clear" w:color="auto" w:fill="auto"/>
            <w:noWrap/>
            <w:vAlign w:val="center"/>
          </w:tcPr>
          <w:p w14:paraId="4FBF66E7">
            <w:pPr>
              <w:widowControl/>
              <w:spacing w:line="600" w:lineRule="exact"/>
              <w:ind w:firstLine="200"/>
              <w:rPr>
                <w:color w:val="000000"/>
                <w:kern w:val="0"/>
                <w:sz w:val="22"/>
                <w:szCs w:val="22"/>
              </w:rPr>
            </w:pPr>
            <w:r>
              <w:rPr>
                <w:color w:val="000000"/>
                <w:kern w:val="0"/>
                <w:sz w:val="22"/>
                <w:szCs w:val="22"/>
              </w:rPr>
              <w:t>6</w:t>
            </w:r>
          </w:p>
        </w:tc>
        <w:tc>
          <w:tcPr>
            <w:tcW w:w="1358" w:type="dxa"/>
            <w:shd w:val="clear" w:color="auto" w:fill="auto"/>
            <w:vAlign w:val="center"/>
          </w:tcPr>
          <w:p w14:paraId="7CDB8BF9">
            <w:pPr>
              <w:widowControl/>
              <w:spacing w:line="600" w:lineRule="exact"/>
              <w:ind w:firstLine="200"/>
              <w:jc w:val="center"/>
              <w:rPr>
                <w:color w:val="000000"/>
                <w:kern w:val="0"/>
                <w:sz w:val="22"/>
                <w:szCs w:val="22"/>
              </w:rPr>
            </w:pPr>
            <w:r>
              <w:rPr>
                <w:rFonts w:hint="eastAsia" w:ascii="宋体" w:hAnsi="宋体"/>
                <w:color w:val="000000"/>
                <w:kern w:val="0"/>
                <w:sz w:val="22"/>
                <w:szCs w:val="22"/>
              </w:rPr>
              <w:t>实地调研</w:t>
            </w:r>
          </w:p>
        </w:tc>
        <w:tc>
          <w:tcPr>
            <w:tcW w:w="7453" w:type="dxa"/>
            <w:shd w:val="clear" w:color="auto" w:fill="auto"/>
            <w:vAlign w:val="center"/>
          </w:tcPr>
          <w:p w14:paraId="0D95CA6B">
            <w:pPr>
              <w:widowControl/>
              <w:jc w:val="left"/>
              <w:rPr>
                <w:color w:val="000000"/>
                <w:kern w:val="0"/>
                <w:sz w:val="22"/>
                <w:szCs w:val="22"/>
              </w:rPr>
            </w:pPr>
            <w:r>
              <w:rPr>
                <w:rFonts w:hint="eastAsia" w:ascii="宋体" w:hAnsi="宋体"/>
                <w:color w:val="000000"/>
                <w:kern w:val="0"/>
                <w:sz w:val="22"/>
                <w:szCs w:val="22"/>
              </w:rPr>
              <w:t>维持岸坡结构的稳定，发现堤岸坍塌、松木桩损坏、生态砌块、干砌块石、浆砌块石破损、脱落且未及时修补的，每处扣</w:t>
            </w:r>
            <w:r>
              <w:rPr>
                <w:rFonts w:ascii="宋体" w:hAnsi="宋体"/>
                <w:color w:val="000000"/>
                <w:kern w:val="0"/>
                <w:sz w:val="22"/>
                <w:szCs w:val="22"/>
              </w:rPr>
              <w:t>0.3</w:t>
            </w:r>
            <w:r>
              <w:rPr>
                <w:rFonts w:hint="eastAsia" w:ascii="宋体" w:hAnsi="宋体"/>
                <w:color w:val="000000"/>
                <w:kern w:val="0"/>
                <w:sz w:val="22"/>
                <w:szCs w:val="22"/>
              </w:rPr>
              <w:t>分；最多扣</w:t>
            </w:r>
            <w:r>
              <w:rPr>
                <w:rFonts w:ascii="宋体" w:hAnsi="宋体"/>
                <w:color w:val="000000"/>
                <w:kern w:val="0"/>
                <w:sz w:val="22"/>
                <w:szCs w:val="22"/>
              </w:rPr>
              <w:t>6</w:t>
            </w:r>
            <w:r>
              <w:rPr>
                <w:rFonts w:hint="eastAsia" w:ascii="宋体" w:hAnsi="宋体"/>
                <w:color w:val="000000"/>
                <w:kern w:val="0"/>
                <w:sz w:val="22"/>
                <w:szCs w:val="22"/>
              </w:rPr>
              <w:t>分。</w:t>
            </w:r>
          </w:p>
        </w:tc>
      </w:tr>
      <w:tr w14:paraId="2A5C5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704" w:type="dxa"/>
            <w:shd w:val="clear" w:color="auto" w:fill="auto"/>
            <w:noWrap/>
            <w:vAlign w:val="center"/>
          </w:tcPr>
          <w:p w14:paraId="2F9D4917">
            <w:pPr>
              <w:widowControl/>
              <w:jc w:val="center"/>
              <w:rPr>
                <w:color w:val="000000"/>
                <w:kern w:val="0"/>
                <w:sz w:val="22"/>
                <w:szCs w:val="22"/>
              </w:rPr>
            </w:pPr>
            <w:r>
              <w:rPr>
                <w:color w:val="000000"/>
                <w:kern w:val="0"/>
                <w:sz w:val="22"/>
                <w:szCs w:val="22"/>
              </w:rPr>
              <w:t>13</w:t>
            </w:r>
          </w:p>
        </w:tc>
        <w:tc>
          <w:tcPr>
            <w:tcW w:w="1139" w:type="dxa"/>
            <w:vMerge w:val="continue"/>
            <w:vAlign w:val="center"/>
          </w:tcPr>
          <w:p w14:paraId="4009CD99">
            <w:pPr>
              <w:widowControl/>
              <w:jc w:val="left"/>
              <w:rPr>
                <w:color w:val="000000"/>
                <w:kern w:val="0"/>
                <w:sz w:val="22"/>
                <w:szCs w:val="22"/>
              </w:rPr>
            </w:pPr>
          </w:p>
        </w:tc>
        <w:tc>
          <w:tcPr>
            <w:tcW w:w="1335" w:type="dxa"/>
            <w:vMerge w:val="restart"/>
            <w:shd w:val="clear" w:color="auto" w:fill="auto"/>
            <w:noWrap/>
            <w:vAlign w:val="center"/>
          </w:tcPr>
          <w:p w14:paraId="5321430B">
            <w:pPr>
              <w:widowControl/>
              <w:jc w:val="center"/>
              <w:rPr>
                <w:rFonts w:ascii="宋体" w:hAnsi="宋体"/>
                <w:color w:val="000000"/>
                <w:kern w:val="0"/>
                <w:sz w:val="22"/>
                <w:szCs w:val="22"/>
              </w:rPr>
            </w:pPr>
            <w:r>
              <w:rPr>
                <w:rFonts w:hint="eastAsia" w:ascii="宋体" w:hAnsi="宋体"/>
                <w:color w:val="000000"/>
                <w:kern w:val="0"/>
                <w:sz w:val="22"/>
                <w:szCs w:val="22"/>
              </w:rPr>
              <w:t>设施维护</w:t>
            </w:r>
          </w:p>
          <w:p w14:paraId="3E15DC61">
            <w:pPr>
              <w:widowControl/>
              <w:jc w:val="center"/>
              <w:rPr>
                <w:color w:val="000000"/>
                <w:kern w:val="0"/>
                <w:sz w:val="22"/>
                <w:szCs w:val="22"/>
              </w:rPr>
            </w:pPr>
            <w:r>
              <w:rPr>
                <w:rFonts w:hint="eastAsia" w:ascii="宋体" w:hAnsi="宋体"/>
                <w:color w:val="000000"/>
                <w:kern w:val="0"/>
                <w:sz w:val="22"/>
                <w:szCs w:val="22"/>
              </w:rPr>
              <w:t>（15分）</w:t>
            </w:r>
          </w:p>
        </w:tc>
        <w:tc>
          <w:tcPr>
            <w:tcW w:w="1560" w:type="dxa"/>
            <w:shd w:val="clear" w:color="auto" w:fill="auto"/>
            <w:vAlign w:val="center"/>
          </w:tcPr>
          <w:p w14:paraId="67B457D8">
            <w:pPr>
              <w:widowControl/>
              <w:jc w:val="left"/>
              <w:rPr>
                <w:color w:val="000000"/>
                <w:kern w:val="0"/>
                <w:sz w:val="22"/>
                <w:szCs w:val="22"/>
              </w:rPr>
            </w:pPr>
            <w:r>
              <w:rPr>
                <w:rFonts w:hint="eastAsia" w:ascii="宋体" w:hAnsi="宋体"/>
                <w:color w:val="000000"/>
                <w:kern w:val="0"/>
                <w:sz w:val="22"/>
                <w:szCs w:val="22"/>
              </w:rPr>
              <w:t>亮化工程设施完好</w:t>
            </w:r>
          </w:p>
        </w:tc>
        <w:tc>
          <w:tcPr>
            <w:tcW w:w="708" w:type="dxa"/>
            <w:shd w:val="clear" w:color="auto" w:fill="auto"/>
            <w:noWrap/>
            <w:vAlign w:val="center"/>
          </w:tcPr>
          <w:p w14:paraId="0C9AD4CF">
            <w:pPr>
              <w:widowControl/>
              <w:jc w:val="center"/>
              <w:rPr>
                <w:color w:val="000000"/>
                <w:kern w:val="0"/>
                <w:sz w:val="22"/>
                <w:szCs w:val="22"/>
              </w:rPr>
            </w:pPr>
            <w:r>
              <w:rPr>
                <w:color w:val="000000"/>
                <w:kern w:val="0"/>
                <w:sz w:val="22"/>
                <w:szCs w:val="22"/>
              </w:rPr>
              <w:t>5</w:t>
            </w:r>
          </w:p>
        </w:tc>
        <w:tc>
          <w:tcPr>
            <w:tcW w:w="1358" w:type="dxa"/>
            <w:shd w:val="clear" w:color="auto" w:fill="auto"/>
            <w:vAlign w:val="center"/>
          </w:tcPr>
          <w:p w14:paraId="2AE2CCC9">
            <w:pPr>
              <w:widowControl/>
              <w:jc w:val="center"/>
              <w:rPr>
                <w:color w:val="000000"/>
                <w:kern w:val="0"/>
                <w:sz w:val="22"/>
                <w:szCs w:val="22"/>
              </w:rPr>
            </w:pPr>
            <w:r>
              <w:rPr>
                <w:rFonts w:hint="eastAsia" w:ascii="宋体" w:hAnsi="宋体"/>
                <w:color w:val="000000"/>
                <w:kern w:val="0"/>
                <w:sz w:val="22"/>
                <w:szCs w:val="22"/>
              </w:rPr>
              <w:t>实地调研</w:t>
            </w:r>
          </w:p>
        </w:tc>
        <w:tc>
          <w:tcPr>
            <w:tcW w:w="7453" w:type="dxa"/>
            <w:shd w:val="clear" w:color="auto" w:fill="auto"/>
            <w:vAlign w:val="center"/>
          </w:tcPr>
          <w:p w14:paraId="59D70EB7">
            <w:pPr>
              <w:widowControl/>
              <w:jc w:val="left"/>
              <w:rPr>
                <w:color w:val="000000"/>
                <w:kern w:val="0"/>
                <w:sz w:val="22"/>
                <w:szCs w:val="22"/>
              </w:rPr>
            </w:pPr>
            <w:r>
              <w:rPr>
                <w:rFonts w:hint="eastAsia" w:ascii="宋体" w:hAnsi="宋体"/>
                <w:color w:val="000000"/>
                <w:kern w:val="0"/>
                <w:sz w:val="22"/>
                <w:szCs w:val="22"/>
              </w:rPr>
              <w:t>路灯、庭院灯完好无损，灯光明亮，发现灯罩损坏、灯光昏暗、灯泡不亮的情况，每</w:t>
            </w:r>
            <w:r>
              <w:rPr>
                <w:color w:val="000000"/>
                <w:kern w:val="0"/>
                <w:sz w:val="22"/>
                <w:szCs w:val="22"/>
              </w:rPr>
              <w:t>1</w:t>
            </w:r>
            <w:r>
              <w:rPr>
                <w:rFonts w:hint="eastAsia" w:ascii="宋体" w:hAnsi="宋体"/>
                <w:color w:val="000000"/>
                <w:kern w:val="0"/>
                <w:sz w:val="22"/>
                <w:szCs w:val="22"/>
              </w:rPr>
              <w:t>处扣</w:t>
            </w:r>
            <w:r>
              <w:rPr>
                <w:color w:val="000000"/>
                <w:kern w:val="0"/>
                <w:sz w:val="22"/>
                <w:szCs w:val="22"/>
              </w:rPr>
              <w:t>0.25</w:t>
            </w:r>
            <w:r>
              <w:rPr>
                <w:rFonts w:hint="eastAsia" w:ascii="宋体" w:hAnsi="宋体"/>
                <w:color w:val="000000"/>
                <w:kern w:val="0"/>
                <w:sz w:val="22"/>
                <w:szCs w:val="22"/>
              </w:rPr>
              <w:t>分；最多扣</w:t>
            </w:r>
            <w:r>
              <w:rPr>
                <w:color w:val="000000"/>
                <w:kern w:val="0"/>
                <w:sz w:val="22"/>
                <w:szCs w:val="22"/>
              </w:rPr>
              <w:t>5</w:t>
            </w:r>
            <w:r>
              <w:rPr>
                <w:rFonts w:hint="eastAsia" w:ascii="宋体" w:hAnsi="宋体"/>
                <w:color w:val="000000"/>
                <w:kern w:val="0"/>
                <w:sz w:val="22"/>
                <w:szCs w:val="22"/>
              </w:rPr>
              <w:t>分。</w:t>
            </w:r>
          </w:p>
        </w:tc>
      </w:tr>
      <w:tr w14:paraId="4A986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04" w:type="dxa"/>
            <w:shd w:val="clear" w:color="auto" w:fill="auto"/>
            <w:noWrap/>
            <w:vAlign w:val="center"/>
          </w:tcPr>
          <w:p w14:paraId="33B06E93">
            <w:pPr>
              <w:widowControl/>
              <w:jc w:val="center"/>
              <w:rPr>
                <w:color w:val="000000"/>
                <w:kern w:val="0"/>
                <w:sz w:val="22"/>
                <w:szCs w:val="22"/>
              </w:rPr>
            </w:pPr>
            <w:r>
              <w:rPr>
                <w:color w:val="000000"/>
                <w:kern w:val="0"/>
                <w:sz w:val="22"/>
                <w:szCs w:val="22"/>
              </w:rPr>
              <w:t>14</w:t>
            </w:r>
          </w:p>
        </w:tc>
        <w:tc>
          <w:tcPr>
            <w:tcW w:w="1139" w:type="dxa"/>
            <w:vMerge w:val="continue"/>
            <w:vAlign w:val="center"/>
          </w:tcPr>
          <w:p w14:paraId="128ED346">
            <w:pPr>
              <w:widowControl/>
              <w:jc w:val="left"/>
              <w:rPr>
                <w:color w:val="000000"/>
                <w:kern w:val="0"/>
                <w:sz w:val="22"/>
                <w:szCs w:val="22"/>
              </w:rPr>
            </w:pPr>
          </w:p>
        </w:tc>
        <w:tc>
          <w:tcPr>
            <w:tcW w:w="1335" w:type="dxa"/>
            <w:vMerge w:val="continue"/>
            <w:vAlign w:val="center"/>
          </w:tcPr>
          <w:p w14:paraId="0C4BDE0E">
            <w:pPr>
              <w:widowControl/>
              <w:jc w:val="left"/>
              <w:rPr>
                <w:color w:val="000000"/>
                <w:kern w:val="0"/>
                <w:sz w:val="22"/>
                <w:szCs w:val="22"/>
              </w:rPr>
            </w:pPr>
          </w:p>
        </w:tc>
        <w:tc>
          <w:tcPr>
            <w:tcW w:w="1560" w:type="dxa"/>
            <w:shd w:val="clear" w:color="auto" w:fill="auto"/>
            <w:vAlign w:val="center"/>
          </w:tcPr>
          <w:p w14:paraId="55926659">
            <w:pPr>
              <w:widowControl/>
              <w:jc w:val="left"/>
              <w:rPr>
                <w:color w:val="000000"/>
                <w:kern w:val="0"/>
                <w:sz w:val="22"/>
                <w:szCs w:val="22"/>
              </w:rPr>
            </w:pPr>
            <w:r>
              <w:rPr>
                <w:rFonts w:hint="eastAsia" w:ascii="宋体" w:hAnsi="宋体"/>
                <w:color w:val="000000"/>
                <w:kern w:val="0"/>
                <w:sz w:val="22"/>
                <w:szCs w:val="22"/>
              </w:rPr>
              <w:t>构筑物完好，无损坏</w:t>
            </w:r>
          </w:p>
        </w:tc>
        <w:tc>
          <w:tcPr>
            <w:tcW w:w="708" w:type="dxa"/>
            <w:shd w:val="clear" w:color="auto" w:fill="auto"/>
            <w:noWrap/>
            <w:vAlign w:val="center"/>
          </w:tcPr>
          <w:p w14:paraId="6C6D4510">
            <w:pPr>
              <w:widowControl/>
              <w:jc w:val="center"/>
              <w:rPr>
                <w:color w:val="000000"/>
                <w:kern w:val="0"/>
                <w:sz w:val="22"/>
                <w:szCs w:val="22"/>
              </w:rPr>
            </w:pPr>
            <w:r>
              <w:rPr>
                <w:color w:val="000000"/>
                <w:kern w:val="0"/>
                <w:sz w:val="22"/>
                <w:szCs w:val="22"/>
              </w:rPr>
              <w:t>6</w:t>
            </w:r>
          </w:p>
        </w:tc>
        <w:tc>
          <w:tcPr>
            <w:tcW w:w="1358" w:type="dxa"/>
            <w:shd w:val="clear" w:color="auto" w:fill="auto"/>
            <w:vAlign w:val="center"/>
          </w:tcPr>
          <w:p w14:paraId="36FF63C2">
            <w:pPr>
              <w:widowControl/>
              <w:jc w:val="center"/>
              <w:rPr>
                <w:color w:val="000000"/>
                <w:kern w:val="0"/>
                <w:sz w:val="22"/>
                <w:szCs w:val="22"/>
              </w:rPr>
            </w:pPr>
            <w:r>
              <w:rPr>
                <w:rFonts w:hint="eastAsia" w:ascii="宋体" w:hAnsi="宋体"/>
                <w:color w:val="000000"/>
                <w:kern w:val="0"/>
                <w:sz w:val="22"/>
                <w:szCs w:val="22"/>
              </w:rPr>
              <w:t>实地调研</w:t>
            </w:r>
          </w:p>
        </w:tc>
        <w:tc>
          <w:tcPr>
            <w:tcW w:w="7453" w:type="dxa"/>
            <w:shd w:val="clear" w:color="auto" w:fill="auto"/>
            <w:vAlign w:val="center"/>
          </w:tcPr>
          <w:p w14:paraId="7EA2E782">
            <w:pPr>
              <w:widowControl/>
              <w:jc w:val="left"/>
              <w:rPr>
                <w:color w:val="000000"/>
                <w:kern w:val="0"/>
                <w:sz w:val="22"/>
                <w:szCs w:val="22"/>
              </w:rPr>
            </w:pPr>
            <w:r>
              <w:rPr>
                <w:rFonts w:hint="eastAsia" w:ascii="宋体" w:hAnsi="宋体"/>
                <w:color w:val="000000"/>
                <w:kern w:val="0"/>
                <w:sz w:val="22"/>
                <w:szCs w:val="22"/>
              </w:rPr>
              <w:t>维持凉亭（瞭望塔）、长廊（廊架）、亲水平台、厕所和景观雕塑小品的正常使用，每发现</w:t>
            </w:r>
            <w:r>
              <w:rPr>
                <w:color w:val="000000"/>
                <w:kern w:val="0"/>
                <w:sz w:val="22"/>
                <w:szCs w:val="22"/>
              </w:rPr>
              <w:t>1</w:t>
            </w:r>
            <w:r>
              <w:rPr>
                <w:rFonts w:hint="eastAsia" w:ascii="宋体" w:hAnsi="宋体"/>
                <w:color w:val="000000"/>
                <w:kern w:val="0"/>
                <w:sz w:val="22"/>
                <w:szCs w:val="22"/>
              </w:rPr>
              <w:t>处结构损坏未及时修复的扣</w:t>
            </w:r>
            <w:r>
              <w:rPr>
                <w:color w:val="000000"/>
                <w:kern w:val="0"/>
                <w:sz w:val="22"/>
                <w:szCs w:val="22"/>
              </w:rPr>
              <w:t>0.3</w:t>
            </w:r>
            <w:r>
              <w:rPr>
                <w:rFonts w:hint="eastAsia" w:ascii="宋体" w:hAnsi="宋体"/>
                <w:color w:val="000000"/>
                <w:kern w:val="0"/>
                <w:sz w:val="22"/>
                <w:szCs w:val="22"/>
              </w:rPr>
              <w:t>分；最多扣</w:t>
            </w:r>
            <w:r>
              <w:rPr>
                <w:color w:val="000000"/>
                <w:kern w:val="0"/>
                <w:sz w:val="22"/>
                <w:szCs w:val="22"/>
              </w:rPr>
              <w:t>6</w:t>
            </w:r>
            <w:r>
              <w:rPr>
                <w:rFonts w:hint="eastAsia" w:ascii="宋体" w:hAnsi="宋体"/>
                <w:color w:val="000000"/>
                <w:kern w:val="0"/>
                <w:sz w:val="22"/>
                <w:szCs w:val="22"/>
              </w:rPr>
              <w:t>分。</w:t>
            </w:r>
          </w:p>
        </w:tc>
      </w:tr>
      <w:tr w14:paraId="79AF6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704" w:type="dxa"/>
            <w:shd w:val="clear" w:color="auto" w:fill="auto"/>
            <w:noWrap/>
            <w:vAlign w:val="center"/>
          </w:tcPr>
          <w:p w14:paraId="5361FE7F">
            <w:pPr>
              <w:widowControl/>
              <w:jc w:val="center"/>
              <w:rPr>
                <w:color w:val="000000"/>
                <w:kern w:val="0"/>
                <w:sz w:val="22"/>
                <w:szCs w:val="22"/>
              </w:rPr>
            </w:pPr>
            <w:r>
              <w:rPr>
                <w:color w:val="000000"/>
                <w:kern w:val="0"/>
                <w:sz w:val="22"/>
                <w:szCs w:val="22"/>
              </w:rPr>
              <w:t>15</w:t>
            </w:r>
          </w:p>
        </w:tc>
        <w:tc>
          <w:tcPr>
            <w:tcW w:w="1139" w:type="dxa"/>
            <w:vMerge w:val="continue"/>
            <w:vAlign w:val="center"/>
          </w:tcPr>
          <w:p w14:paraId="716D3F47">
            <w:pPr>
              <w:widowControl/>
              <w:jc w:val="left"/>
              <w:rPr>
                <w:color w:val="000000"/>
                <w:kern w:val="0"/>
                <w:sz w:val="22"/>
                <w:szCs w:val="22"/>
              </w:rPr>
            </w:pPr>
          </w:p>
        </w:tc>
        <w:tc>
          <w:tcPr>
            <w:tcW w:w="1335" w:type="dxa"/>
            <w:vMerge w:val="continue"/>
            <w:vAlign w:val="center"/>
          </w:tcPr>
          <w:p w14:paraId="07216B47">
            <w:pPr>
              <w:widowControl/>
              <w:jc w:val="left"/>
              <w:rPr>
                <w:color w:val="000000"/>
                <w:kern w:val="0"/>
                <w:sz w:val="22"/>
                <w:szCs w:val="22"/>
              </w:rPr>
            </w:pPr>
          </w:p>
        </w:tc>
        <w:tc>
          <w:tcPr>
            <w:tcW w:w="1560" w:type="dxa"/>
            <w:shd w:val="clear" w:color="auto" w:fill="auto"/>
            <w:vAlign w:val="center"/>
          </w:tcPr>
          <w:p w14:paraId="281D263C">
            <w:pPr>
              <w:widowControl/>
              <w:jc w:val="left"/>
              <w:rPr>
                <w:color w:val="000000"/>
                <w:kern w:val="0"/>
                <w:sz w:val="22"/>
                <w:szCs w:val="22"/>
              </w:rPr>
            </w:pPr>
            <w:r>
              <w:rPr>
                <w:rFonts w:hint="eastAsia" w:ascii="宋体" w:hAnsi="宋体"/>
                <w:color w:val="000000"/>
                <w:kern w:val="0"/>
                <w:sz w:val="22"/>
                <w:szCs w:val="22"/>
              </w:rPr>
              <w:t>辅助功能设施完好</w:t>
            </w:r>
          </w:p>
        </w:tc>
        <w:tc>
          <w:tcPr>
            <w:tcW w:w="708" w:type="dxa"/>
            <w:shd w:val="clear" w:color="auto" w:fill="auto"/>
            <w:noWrap/>
            <w:vAlign w:val="center"/>
          </w:tcPr>
          <w:p w14:paraId="0150A26B">
            <w:pPr>
              <w:widowControl/>
              <w:jc w:val="center"/>
              <w:rPr>
                <w:color w:val="000000"/>
                <w:kern w:val="0"/>
                <w:sz w:val="22"/>
                <w:szCs w:val="22"/>
              </w:rPr>
            </w:pPr>
            <w:r>
              <w:rPr>
                <w:color w:val="000000"/>
                <w:kern w:val="0"/>
                <w:sz w:val="22"/>
                <w:szCs w:val="22"/>
              </w:rPr>
              <w:t>4</w:t>
            </w:r>
          </w:p>
        </w:tc>
        <w:tc>
          <w:tcPr>
            <w:tcW w:w="1358" w:type="dxa"/>
            <w:shd w:val="clear" w:color="auto" w:fill="auto"/>
            <w:vAlign w:val="center"/>
          </w:tcPr>
          <w:p w14:paraId="0D739573">
            <w:pPr>
              <w:widowControl/>
              <w:jc w:val="center"/>
              <w:rPr>
                <w:color w:val="000000"/>
                <w:kern w:val="0"/>
                <w:sz w:val="22"/>
                <w:szCs w:val="22"/>
              </w:rPr>
            </w:pPr>
            <w:r>
              <w:rPr>
                <w:rFonts w:hint="eastAsia" w:ascii="宋体" w:hAnsi="宋体"/>
                <w:color w:val="000000"/>
                <w:kern w:val="0"/>
                <w:sz w:val="22"/>
                <w:szCs w:val="22"/>
              </w:rPr>
              <w:t>实地调研</w:t>
            </w:r>
          </w:p>
        </w:tc>
        <w:tc>
          <w:tcPr>
            <w:tcW w:w="7453" w:type="dxa"/>
            <w:shd w:val="clear" w:color="auto" w:fill="auto"/>
            <w:vAlign w:val="center"/>
          </w:tcPr>
          <w:p w14:paraId="2639278F">
            <w:pPr>
              <w:widowControl/>
              <w:jc w:val="left"/>
              <w:rPr>
                <w:color w:val="000000"/>
                <w:kern w:val="0"/>
                <w:sz w:val="22"/>
                <w:szCs w:val="22"/>
              </w:rPr>
            </w:pPr>
            <w:r>
              <w:rPr>
                <w:rFonts w:hint="eastAsia" w:ascii="宋体" w:hAnsi="宋体"/>
                <w:color w:val="000000"/>
                <w:kern w:val="0"/>
                <w:sz w:val="22"/>
                <w:szCs w:val="22"/>
              </w:rPr>
              <w:t>安全警示牌、宣传标牌日常维护，有损坏且维修不及时的，每发现</w:t>
            </w:r>
            <w:r>
              <w:rPr>
                <w:color w:val="000000"/>
                <w:kern w:val="0"/>
                <w:sz w:val="22"/>
                <w:szCs w:val="22"/>
              </w:rPr>
              <w:t>1</w:t>
            </w:r>
            <w:r>
              <w:rPr>
                <w:rFonts w:hint="eastAsia" w:ascii="宋体" w:hAnsi="宋体"/>
                <w:color w:val="000000"/>
                <w:kern w:val="0"/>
                <w:sz w:val="22"/>
                <w:szCs w:val="22"/>
              </w:rPr>
              <w:t>处扣</w:t>
            </w:r>
            <w:r>
              <w:rPr>
                <w:color w:val="000000"/>
                <w:kern w:val="0"/>
                <w:sz w:val="22"/>
                <w:szCs w:val="22"/>
              </w:rPr>
              <w:t>0.2</w:t>
            </w:r>
            <w:r>
              <w:rPr>
                <w:rFonts w:hint="eastAsia" w:ascii="宋体" w:hAnsi="宋体"/>
                <w:color w:val="000000"/>
                <w:kern w:val="0"/>
                <w:sz w:val="22"/>
                <w:szCs w:val="22"/>
              </w:rPr>
              <w:t>分；最多扣</w:t>
            </w:r>
            <w:r>
              <w:rPr>
                <w:color w:val="000000"/>
                <w:kern w:val="0"/>
                <w:sz w:val="22"/>
                <w:szCs w:val="22"/>
              </w:rPr>
              <w:t>4</w:t>
            </w:r>
            <w:r>
              <w:rPr>
                <w:rFonts w:hint="eastAsia" w:ascii="宋体" w:hAnsi="宋体"/>
                <w:color w:val="000000"/>
                <w:kern w:val="0"/>
                <w:sz w:val="22"/>
                <w:szCs w:val="22"/>
              </w:rPr>
              <w:t>分。</w:t>
            </w:r>
          </w:p>
        </w:tc>
      </w:tr>
      <w:tr w14:paraId="1744B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704" w:type="dxa"/>
            <w:shd w:val="clear" w:color="auto" w:fill="auto"/>
            <w:noWrap/>
            <w:vAlign w:val="center"/>
          </w:tcPr>
          <w:p w14:paraId="58652D0D">
            <w:pPr>
              <w:widowControl/>
              <w:jc w:val="center"/>
              <w:rPr>
                <w:color w:val="000000"/>
                <w:kern w:val="0"/>
                <w:sz w:val="22"/>
                <w:szCs w:val="22"/>
              </w:rPr>
            </w:pPr>
            <w:r>
              <w:rPr>
                <w:color w:val="000000"/>
                <w:kern w:val="0"/>
                <w:sz w:val="22"/>
                <w:szCs w:val="22"/>
              </w:rPr>
              <w:t>16</w:t>
            </w:r>
          </w:p>
        </w:tc>
        <w:tc>
          <w:tcPr>
            <w:tcW w:w="1139" w:type="dxa"/>
            <w:vMerge w:val="continue"/>
            <w:vAlign w:val="center"/>
          </w:tcPr>
          <w:p w14:paraId="3C7E422F">
            <w:pPr>
              <w:widowControl/>
              <w:jc w:val="left"/>
              <w:rPr>
                <w:color w:val="000000"/>
                <w:kern w:val="0"/>
                <w:sz w:val="22"/>
                <w:szCs w:val="22"/>
              </w:rPr>
            </w:pPr>
          </w:p>
        </w:tc>
        <w:tc>
          <w:tcPr>
            <w:tcW w:w="1335" w:type="dxa"/>
            <w:vMerge w:val="restart"/>
            <w:shd w:val="clear" w:color="auto" w:fill="auto"/>
            <w:noWrap/>
            <w:vAlign w:val="center"/>
          </w:tcPr>
          <w:p w14:paraId="52BDE595">
            <w:pPr>
              <w:widowControl/>
              <w:jc w:val="center"/>
              <w:rPr>
                <w:rFonts w:ascii="宋体" w:hAnsi="宋体"/>
                <w:color w:val="000000"/>
                <w:kern w:val="0"/>
                <w:sz w:val="22"/>
                <w:szCs w:val="22"/>
              </w:rPr>
            </w:pPr>
            <w:r>
              <w:rPr>
                <w:rFonts w:hint="eastAsia" w:ascii="宋体" w:hAnsi="宋体"/>
                <w:color w:val="000000"/>
                <w:kern w:val="0"/>
                <w:sz w:val="22"/>
                <w:szCs w:val="22"/>
              </w:rPr>
              <w:t>环境卫生</w:t>
            </w:r>
          </w:p>
          <w:p w14:paraId="5A1D5D2B">
            <w:pPr>
              <w:widowControl/>
              <w:jc w:val="center"/>
              <w:rPr>
                <w:color w:val="000000"/>
                <w:kern w:val="0"/>
                <w:sz w:val="22"/>
                <w:szCs w:val="22"/>
              </w:rPr>
            </w:pPr>
            <w:r>
              <w:rPr>
                <w:rFonts w:hint="eastAsia" w:ascii="宋体" w:hAnsi="宋体"/>
                <w:color w:val="000000"/>
                <w:kern w:val="0"/>
                <w:sz w:val="22"/>
                <w:szCs w:val="22"/>
              </w:rPr>
              <w:t>（15分）</w:t>
            </w:r>
          </w:p>
        </w:tc>
        <w:tc>
          <w:tcPr>
            <w:tcW w:w="1560" w:type="dxa"/>
            <w:shd w:val="clear" w:color="auto" w:fill="auto"/>
            <w:vAlign w:val="center"/>
          </w:tcPr>
          <w:p w14:paraId="338C24DF">
            <w:pPr>
              <w:widowControl/>
              <w:jc w:val="left"/>
              <w:rPr>
                <w:color w:val="000000"/>
                <w:kern w:val="0"/>
                <w:sz w:val="22"/>
                <w:szCs w:val="22"/>
              </w:rPr>
            </w:pPr>
            <w:r>
              <w:rPr>
                <w:rFonts w:hint="eastAsia" w:ascii="宋体" w:hAnsi="宋体"/>
                <w:color w:val="000000"/>
                <w:kern w:val="0"/>
                <w:sz w:val="22"/>
                <w:szCs w:val="22"/>
              </w:rPr>
              <w:t>建筑范围内绿化带保洁，垃圾收集并及时清运</w:t>
            </w:r>
          </w:p>
        </w:tc>
        <w:tc>
          <w:tcPr>
            <w:tcW w:w="708" w:type="dxa"/>
            <w:shd w:val="clear" w:color="auto" w:fill="auto"/>
            <w:noWrap/>
            <w:vAlign w:val="center"/>
          </w:tcPr>
          <w:p w14:paraId="226F4838">
            <w:pPr>
              <w:widowControl/>
              <w:jc w:val="center"/>
              <w:rPr>
                <w:color w:val="000000"/>
                <w:kern w:val="0"/>
                <w:sz w:val="22"/>
                <w:szCs w:val="22"/>
              </w:rPr>
            </w:pPr>
            <w:r>
              <w:rPr>
                <w:color w:val="000000"/>
                <w:kern w:val="0"/>
                <w:sz w:val="22"/>
                <w:szCs w:val="22"/>
              </w:rPr>
              <w:t>6</w:t>
            </w:r>
          </w:p>
        </w:tc>
        <w:tc>
          <w:tcPr>
            <w:tcW w:w="1358" w:type="dxa"/>
            <w:shd w:val="clear" w:color="auto" w:fill="auto"/>
            <w:vAlign w:val="center"/>
          </w:tcPr>
          <w:p w14:paraId="22325194">
            <w:pPr>
              <w:widowControl/>
              <w:jc w:val="center"/>
              <w:rPr>
                <w:color w:val="000000"/>
                <w:kern w:val="0"/>
                <w:sz w:val="22"/>
                <w:szCs w:val="22"/>
              </w:rPr>
            </w:pPr>
            <w:r>
              <w:rPr>
                <w:rFonts w:hint="eastAsia" w:ascii="宋体" w:hAnsi="宋体"/>
                <w:color w:val="000000"/>
                <w:kern w:val="0"/>
                <w:sz w:val="22"/>
                <w:szCs w:val="22"/>
              </w:rPr>
              <w:t>实地调研</w:t>
            </w:r>
          </w:p>
        </w:tc>
        <w:tc>
          <w:tcPr>
            <w:tcW w:w="7453" w:type="dxa"/>
            <w:shd w:val="clear" w:color="auto" w:fill="auto"/>
            <w:vAlign w:val="center"/>
          </w:tcPr>
          <w:p w14:paraId="7F706E4F">
            <w:pPr>
              <w:widowControl/>
              <w:jc w:val="left"/>
              <w:rPr>
                <w:color w:val="000000"/>
                <w:kern w:val="0"/>
                <w:sz w:val="22"/>
                <w:szCs w:val="22"/>
              </w:rPr>
            </w:pPr>
            <w:r>
              <w:rPr>
                <w:rFonts w:hint="eastAsia" w:ascii="宋体" w:hAnsi="宋体"/>
                <w:color w:val="000000"/>
                <w:kern w:val="0"/>
                <w:sz w:val="22"/>
                <w:szCs w:val="22"/>
              </w:rPr>
              <w:t>建筑范围内干净整洁，发现成堆垃圾或废弃物的，未及时清运，影响环境整洁的，每发现</w:t>
            </w:r>
            <w:r>
              <w:rPr>
                <w:color w:val="000000"/>
                <w:kern w:val="0"/>
                <w:sz w:val="22"/>
                <w:szCs w:val="22"/>
              </w:rPr>
              <w:t>2</w:t>
            </w:r>
            <w:r>
              <w:rPr>
                <w:rFonts w:hint="eastAsia" w:ascii="宋体" w:hAnsi="宋体"/>
                <w:color w:val="000000"/>
                <w:kern w:val="0"/>
                <w:sz w:val="22"/>
                <w:szCs w:val="22"/>
              </w:rPr>
              <w:t>处，扣</w:t>
            </w:r>
            <w:r>
              <w:rPr>
                <w:color w:val="000000"/>
                <w:kern w:val="0"/>
                <w:sz w:val="22"/>
                <w:szCs w:val="22"/>
              </w:rPr>
              <w:t>0.3</w:t>
            </w:r>
            <w:r>
              <w:rPr>
                <w:rFonts w:hint="eastAsia" w:ascii="宋体" w:hAnsi="宋体"/>
                <w:color w:val="000000"/>
                <w:kern w:val="0"/>
                <w:sz w:val="22"/>
                <w:szCs w:val="22"/>
              </w:rPr>
              <w:t>分；最多扣</w:t>
            </w:r>
            <w:r>
              <w:rPr>
                <w:color w:val="000000"/>
                <w:kern w:val="0"/>
                <w:sz w:val="22"/>
                <w:szCs w:val="22"/>
              </w:rPr>
              <w:t>6</w:t>
            </w:r>
            <w:r>
              <w:rPr>
                <w:rFonts w:hint="eastAsia" w:ascii="宋体" w:hAnsi="宋体"/>
                <w:color w:val="000000"/>
                <w:kern w:val="0"/>
                <w:sz w:val="22"/>
                <w:szCs w:val="22"/>
              </w:rPr>
              <w:t>分。</w:t>
            </w:r>
          </w:p>
        </w:tc>
      </w:tr>
      <w:tr w14:paraId="7A455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704" w:type="dxa"/>
            <w:shd w:val="clear" w:color="auto" w:fill="auto"/>
            <w:noWrap/>
            <w:vAlign w:val="center"/>
          </w:tcPr>
          <w:p w14:paraId="42C0CAE8">
            <w:pPr>
              <w:widowControl/>
              <w:jc w:val="center"/>
              <w:rPr>
                <w:color w:val="000000"/>
                <w:kern w:val="0"/>
                <w:sz w:val="22"/>
                <w:szCs w:val="22"/>
              </w:rPr>
            </w:pPr>
            <w:r>
              <w:rPr>
                <w:color w:val="000000"/>
                <w:kern w:val="0"/>
                <w:sz w:val="22"/>
                <w:szCs w:val="22"/>
              </w:rPr>
              <w:t>17</w:t>
            </w:r>
          </w:p>
        </w:tc>
        <w:tc>
          <w:tcPr>
            <w:tcW w:w="1139" w:type="dxa"/>
            <w:vMerge w:val="continue"/>
            <w:vAlign w:val="center"/>
          </w:tcPr>
          <w:p w14:paraId="79350955">
            <w:pPr>
              <w:widowControl/>
              <w:jc w:val="left"/>
              <w:rPr>
                <w:color w:val="000000"/>
                <w:kern w:val="0"/>
                <w:sz w:val="22"/>
                <w:szCs w:val="22"/>
              </w:rPr>
            </w:pPr>
          </w:p>
        </w:tc>
        <w:tc>
          <w:tcPr>
            <w:tcW w:w="1335" w:type="dxa"/>
            <w:vMerge w:val="continue"/>
            <w:vAlign w:val="center"/>
          </w:tcPr>
          <w:p w14:paraId="02B40708">
            <w:pPr>
              <w:widowControl/>
              <w:jc w:val="left"/>
              <w:rPr>
                <w:color w:val="000000"/>
                <w:kern w:val="0"/>
                <w:sz w:val="22"/>
                <w:szCs w:val="22"/>
              </w:rPr>
            </w:pPr>
          </w:p>
        </w:tc>
        <w:tc>
          <w:tcPr>
            <w:tcW w:w="1560" w:type="dxa"/>
            <w:shd w:val="clear" w:color="auto" w:fill="auto"/>
            <w:vAlign w:val="center"/>
          </w:tcPr>
          <w:p w14:paraId="4F7E68D7">
            <w:pPr>
              <w:widowControl/>
              <w:jc w:val="left"/>
              <w:rPr>
                <w:color w:val="000000"/>
                <w:kern w:val="0"/>
                <w:sz w:val="22"/>
                <w:szCs w:val="22"/>
              </w:rPr>
            </w:pPr>
            <w:r>
              <w:rPr>
                <w:rFonts w:hint="eastAsia" w:ascii="宋体" w:hAnsi="宋体"/>
                <w:color w:val="000000"/>
                <w:kern w:val="0"/>
                <w:sz w:val="22"/>
                <w:szCs w:val="22"/>
              </w:rPr>
              <w:t>管理用房设施完好，干净整洁</w:t>
            </w:r>
          </w:p>
        </w:tc>
        <w:tc>
          <w:tcPr>
            <w:tcW w:w="708" w:type="dxa"/>
            <w:shd w:val="clear" w:color="auto" w:fill="auto"/>
            <w:noWrap/>
            <w:vAlign w:val="center"/>
          </w:tcPr>
          <w:p w14:paraId="3F88DD05">
            <w:pPr>
              <w:widowControl/>
              <w:jc w:val="center"/>
              <w:rPr>
                <w:color w:val="000000"/>
                <w:kern w:val="0"/>
                <w:sz w:val="22"/>
                <w:szCs w:val="22"/>
              </w:rPr>
            </w:pPr>
            <w:r>
              <w:rPr>
                <w:color w:val="000000"/>
                <w:kern w:val="0"/>
                <w:sz w:val="22"/>
                <w:szCs w:val="22"/>
              </w:rPr>
              <w:t>4</w:t>
            </w:r>
          </w:p>
        </w:tc>
        <w:tc>
          <w:tcPr>
            <w:tcW w:w="1358" w:type="dxa"/>
            <w:shd w:val="clear" w:color="auto" w:fill="auto"/>
            <w:vAlign w:val="center"/>
          </w:tcPr>
          <w:p w14:paraId="0093DC4A">
            <w:pPr>
              <w:widowControl/>
              <w:jc w:val="center"/>
              <w:rPr>
                <w:color w:val="000000"/>
                <w:kern w:val="0"/>
                <w:sz w:val="22"/>
                <w:szCs w:val="22"/>
              </w:rPr>
            </w:pPr>
            <w:r>
              <w:rPr>
                <w:rFonts w:hint="eastAsia" w:ascii="宋体" w:hAnsi="宋体"/>
                <w:color w:val="000000"/>
                <w:kern w:val="0"/>
                <w:sz w:val="22"/>
                <w:szCs w:val="22"/>
              </w:rPr>
              <w:t>实地调研</w:t>
            </w:r>
          </w:p>
        </w:tc>
        <w:tc>
          <w:tcPr>
            <w:tcW w:w="7453" w:type="dxa"/>
            <w:shd w:val="clear" w:color="auto" w:fill="auto"/>
            <w:vAlign w:val="center"/>
          </w:tcPr>
          <w:p w14:paraId="4376C3B2">
            <w:pPr>
              <w:widowControl/>
              <w:jc w:val="left"/>
              <w:rPr>
                <w:rFonts w:ascii="宋体" w:hAnsi="宋体"/>
                <w:color w:val="000000"/>
                <w:kern w:val="0"/>
                <w:sz w:val="22"/>
                <w:szCs w:val="22"/>
              </w:rPr>
            </w:pPr>
            <w:r>
              <w:rPr>
                <w:color w:val="000000"/>
                <w:kern w:val="0"/>
                <w:sz w:val="22"/>
                <w:szCs w:val="22"/>
              </w:rPr>
              <w:t>1.</w:t>
            </w:r>
            <w:r>
              <w:rPr>
                <w:rFonts w:hint="eastAsia" w:ascii="宋体" w:hAnsi="宋体"/>
                <w:color w:val="000000"/>
                <w:kern w:val="0"/>
                <w:sz w:val="22"/>
                <w:szCs w:val="22"/>
              </w:rPr>
              <w:t>管理用房照明、供水等设施损坏，每发现一处扣</w:t>
            </w:r>
            <w:r>
              <w:rPr>
                <w:color w:val="000000"/>
                <w:kern w:val="0"/>
                <w:sz w:val="22"/>
                <w:szCs w:val="22"/>
              </w:rPr>
              <w:t>0.1</w:t>
            </w:r>
            <w:r>
              <w:rPr>
                <w:rFonts w:hint="eastAsia" w:ascii="宋体" w:hAnsi="宋体"/>
                <w:color w:val="000000"/>
                <w:kern w:val="0"/>
                <w:sz w:val="22"/>
                <w:szCs w:val="22"/>
              </w:rPr>
              <w:t>分；最多扣</w:t>
            </w:r>
            <w:r>
              <w:rPr>
                <w:color w:val="000000"/>
                <w:kern w:val="0"/>
                <w:sz w:val="22"/>
                <w:szCs w:val="22"/>
              </w:rPr>
              <w:t>2</w:t>
            </w:r>
            <w:r>
              <w:rPr>
                <w:rFonts w:hint="eastAsia" w:ascii="宋体" w:hAnsi="宋体"/>
                <w:color w:val="000000"/>
                <w:kern w:val="0"/>
                <w:sz w:val="22"/>
                <w:szCs w:val="22"/>
              </w:rPr>
              <w:t>分。</w:t>
            </w:r>
          </w:p>
          <w:p w14:paraId="3E3E6213">
            <w:pPr>
              <w:widowControl/>
              <w:jc w:val="left"/>
              <w:rPr>
                <w:color w:val="000000"/>
                <w:kern w:val="0"/>
                <w:sz w:val="22"/>
                <w:szCs w:val="22"/>
              </w:rPr>
            </w:pPr>
            <w:r>
              <w:rPr>
                <w:color w:val="000000"/>
                <w:kern w:val="0"/>
                <w:sz w:val="22"/>
                <w:szCs w:val="22"/>
              </w:rPr>
              <w:t>2.</w:t>
            </w:r>
            <w:r>
              <w:rPr>
                <w:rFonts w:hint="eastAsia" w:ascii="宋体" w:hAnsi="宋体"/>
                <w:color w:val="000000"/>
                <w:kern w:val="0"/>
                <w:sz w:val="22"/>
                <w:szCs w:val="22"/>
              </w:rPr>
              <w:t>管理用房墙面、挡板没有污迹和蛛网吊灰，每发现一处扣</w:t>
            </w:r>
            <w:r>
              <w:rPr>
                <w:color w:val="000000"/>
                <w:kern w:val="0"/>
                <w:sz w:val="22"/>
                <w:szCs w:val="22"/>
              </w:rPr>
              <w:t>0.1</w:t>
            </w:r>
            <w:r>
              <w:rPr>
                <w:rFonts w:hint="eastAsia" w:ascii="宋体" w:hAnsi="宋体"/>
                <w:color w:val="000000"/>
                <w:kern w:val="0"/>
                <w:sz w:val="22"/>
                <w:szCs w:val="22"/>
              </w:rPr>
              <w:t>分；最多扣</w:t>
            </w:r>
            <w:r>
              <w:rPr>
                <w:color w:val="000000"/>
                <w:kern w:val="0"/>
                <w:sz w:val="22"/>
                <w:szCs w:val="22"/>
              </w:rPr>
              <w:t>2</w:t>
            </w:r>
            <w:r>
              <w:rPr>
                <w:rFonts w:hint="eastAsia" w:ascii="宋体" w:hAnsi="宋体"/>
                <w:color w:val="000000"/>
                <w:kern w:val="0"/>
                <w:sz w:val="22"/>
                <w:szCs w:val="22"/>
              </w:rPr>
              <w:t>分。</w:t>
            </w:r>
          </w:p>
        </w:tc>
      </w:tr>
      <w:tr w14:paraId="0E5B6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704" w:type="dxa"/>
            <w:shd w:val="clear" w:color="auto" w:fill="auto"/>
            <w:noWrap/>
            <w:vAlign w:val="center"/>
          </w:tcPr>
          <w:p w14:paraId="50923BB4">
            <w:pPr>
              <w:widowControl/>
              <w:jc w:val="center"/>
              <w:rPr>
                <w:color w:val="000000"/>
                <w:kern w:val="0"/>
                <w:sz w:val="22"/>
                <w:szCs w:val="22"/>
              </w:rPr>
            </w:pPr>
            <w:r>
              <w:rPr>
                <w:color w:val="000000"/>
                <w:kern w:val="0"/>
                <w:sz w:val="22"/>
                <w:szCs w:val="22"/>
              </w:rPr>
              <w:t>18</w:t>
            </w:r>
          </w:p>
        </w:tc>
        <w:tc>
          <w:tcPr>
            <w:tcW w:w="1139" w:type="dxa"/>
            <w:vMerge w:val="continue"/>
            <w:vAlign w:val="center"/>
          </w:tcPr>
          <w:p w14:paraId="15093CD6">
            <w:pPr>
              <w:widowControl/>
              <w:jc w:val="left"/>
              <w:rPr>
                <w:color w:val="000000"/>
                <w:kern w:val="0"/>
                <w:sz w:val="22"/>
                <w:szCs w:val="22"/>
              </w:rPr>
            </w:pPr>
          </w:p>
        </w:tc>
        <w:tc>
          <w:tcPr>
            <w:tcW w:w="1335" w:type="dxa"/>
            <w:vMerge w:val="continue"/>
            <w:vAlign w:val="center"/>
          </w:tcPr>
          <w:p w14:paraId="1E6FAC6B">
            <w:pPr>
              <w:widowControl/>
              <w:jc w:val="left"/>
              <w:rPr>
                <w:color w:val="000000"/>
                <w:kern w:val="0"/>
                <w:sz w:val="22"/>
                <w:szCs w:val="22"/>
              </w:rPr>
            </w:pPr>
          </w:p>
        </w:tc>
        <w:tc>
          <w:tcPr>
            <w:tcW w:w="1560" w:type="dxa"/>
            <w:shd w:val="clear" w:color="auto" w:fill="auto"/>
            <w:vAlign w:val="center"/>
          </w:tcPr>
          <w:p w14:paraId="3D365412">
            <w:pPr>
              <w:widowControl/>
              <w:jc w:val="left"/>
              <w:rPr>
                <w:color w:val="000000"/>
                <w:kern w:val="0"/>
                <w:sz w:val="22"/>
                <w:szCs w:val="22"/>
              </w:rPr>
            </w:pPr>
            <w:r>
              <w:rPr>
                <w:rFonts w:hint="eastAsia" w:ascii="宋体" w:hAnsi="宋体"/>
                <w:color w:val="000000"/>
                <w:kern w:val="0"/>
                <w:sz w:val="22"/>
                <w:szCs w:val="22"/>
              </w:rPr>
              <w:t>园路、建筑物、构筑物等设施保洁</w:t>
            </w:r>
          </w:p>
        </w:tc>
        <w:tc>
          <w:tcPr>
            <w:tcW w:w="708" w:type="dxa"/>
            <w:shd w:val="clear" w:color="auto" w:fill="auto"/>
            <w:noWrap/>
            <w:vAlign w:val="center"/>
          </w:tcPr>
          <w:p w14:paraId="68441027">
            <w:pPr>
              <w:widowControl/>
              <w:jc w:val="center"/>
              <w:rPr>
                <w:color w:val="000000"/>
                <w:kern w:val="0"/>
                <w:sz w:val="22"/>
                <w:szCs w:val="22"/>
              </w:rPr>
            </w:pPr>
            <w:r>
              <w:rPr>
                <w:color w:val="000000"/>
                <w:kern w:val="0"/>
                <w:sz w:val="22"/>
                <w:szCs w:val="22"/>
              </w:rPr>
              <w:t>5</w:t>
            </w:r>
          </w:p>
        </w:tc>
        <w:tc>
          <w:tcPr>
            <w:tcW w:w="1358" w:type="dxa"/>
            <w:shd w:val="clear" w:color="auto" w:fill="auto"/>
            <w:vAlign w:val="center"/>
          </w:tcPr>
          <w:p w14:paraId="162C8B4D">
            <w:pPr>
              <w:widowControl/>
              <w:jc w:val="center"/>
              <w:rPr>
                <w:color w:val="000000"/>
                <w:kern w:val="0"/>
                <w:sz w:val="22"/>
                <w:szCs w:val="22"/>
              </w:rPr>
            </w:pPr>
            <w:r>
              <w:rPr>
                <w:rFonts w:hint="eastAsia" w:ascii="宋体" w:hAnsi="宋体"/>
                <w:color w:val="000000"/>
                <w:kern w:val="0"/>
                <w:sz w:val="22"/>
                <w:szCs w:val="22"/>
              </w:rPr>
              <w:t>实地调研</w:t>
            </w:r>
          </w:p>
        </w:tc>
        <w:tc>
          <w:tcPr>
            <w:tcW w:w="7453" w:type="dxa"/>
            <w:shd w:val="clear" w:color="auto" w:fill="auto"/>
            <w:vAlign w:val="center"/>
          </w:tcPr>
          <w:p w14:paraId="45E8C85D">
            <w:pPr>
              <w:widowControl/>
              <w:jc w:val="left"/>
              <w:rPr>
                <w:color w:val="000000"/>
                <w:kern w:val="0"/>
                <w:sz w:val="22"/>
                <w:szCs w:val="22"/>
              </w:rPr>
            </w:pPr>
            <w:r>
              <w:rPr>
                <w:rFonts w:hint="eastAsia" w:ascii="宋体" w:hAnsi="宋体"/>
                <w:color w:val="000000"/>
                <w:kern w:val="0"/>
                <w:sz w:val="22"/>
                <w:szCs w:val="22"/>
              </w:rPr>
              <w:t>维持区域内的园路、建筑物、构筑物等设施的干净整洁，每发现</w:t>
            </w:r>
            <w:r>
              <w:rPr>
                <w:color w:val="000000"/>
                <w:kern w:val="0"/>
                <w:sz w:val="22"/>
                <w:szCs w:val="22"/>
              </w:rPr>
              <w:t>2</w:t>
            </w:r>
            <w:r>
              <w:rPr>
                <w:rFonts w:hint="eastAsia" w:ascii="宋体" w:hAnsi="宋体"/>
                <w:color w:val="000000"/>
                <w:kern w:val="0"/>
                <w:sz w:val="22"/>
                <w:szCs w:val="22"/>
              </w:rPr>
              <w:t>处垃圾，扣</w:t>
            </w:r>
            <w:r>
              <w:rPr>
                <w:color w:val="000000"/>
                <w:kern w:val="0"/>
                <w:sz w:val="22"/>
                <w:szCs w:val="22"/>
              </w:rPr>
              <w:t>0.25</w:t>
            </w:r>
            <w:r>
              <w:rPr>
                <w:rFonts w:hint="eastAsia" w:ascii="宋体" w:hAnsi="宋体"/>
                <w:color w:val="000000"/>
                <w:kern w:val="0"/>
                <w:sz w:val="22"/>
                <w:szCs w:val="22"/>
              </w:rPr>
              <w:t>分；最多扣</w:t>
            </w:r>
            <w:r>
              <w:rPr>
                <w:color w:val="000000"/>
                <w:kern w:val="0"/>
                <w:sz w:val="22"/>
                <w:szCs w:val="22"/>
              </w:rPr>
              <w:t>5</w:t>
            </w:r>
            <w:r>
              <w:rPr>
                <w:rFonts w:hint="eastAsia" w:ascii="宋体" w:hAnsi="宋体"/>
                <w:color w:val="000000"/>
                <w:kern w:val="0"/>
                <w:sz w:val="22"/>
                <w:szCs w:val="22"/>
              </w:rPr>
              <w:t>分。</w:t>
            </w:r>
          </w:p>
        </w:tc>
      </w:tr>
      <w:tr w14:paraId="66260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704" w:type="dxa"/>
            <w:shd w:val="clear" w:color="auto" w:fill="auto"/>
            <w:noWrap/>
            <w:vAlign w:val="center"/>
          </w:tcPr>
          <w:p w14:paraId="633A2EC8">
            <w:pPr>
              <w:widowControl/>
              <w:jc w:val="center"/>
              <w:rPr>
                <w:color w:val="000000"/>
                <w:kern w:val="0"/>
                <w:sz w:val="22"/>
                <w:szCs w:val="22"/>
              </w:rPr>
            </w:pPr>
            <w:r>
              <w:rPr>
                <w:color w:val="000000"/>
                <w:kern w:val="0"/>
                <w:sz w:val="22"/>
                <w:szCs w:val="22"/>
              </w:rPr>
              <w:t>19</w:t>
            </w:r>
          </w:p>
        </w:tc>
        <w:tc>
          <w:tcPr>
            <w:tcW w:w="1139" w:type="dxa"/>
            <w:vMerge w:val="continue"/>
            <w:vAlign w:val="center"/>
          </w:tcPr>
          <w:p w14:paraId="4A219216">
            <w:pPr>
              <w:widowControl/>
              <w:jc w:val="left"/>
              <w:rPr>
                <w:color w:val="000000"/>
                <w:kern w:val="0"/>
                <w:sz w:val="22"/>
                <w:szCs w:val="22"/>
              </w:rPr>
            </w:pPr>
          </w:p>
        </w:tc>
        <w:tc>
          <w:tcPr>
            <w:tcW w:w="1335" w:type="dxa"/>
            <w:vMerge w:val="restart"/>
            <w:shd w:val="clear" w:color="auto" w:fill="auto"/>
            <w:noWrap/>
            <w:vAlign w:val="center"/>
          </w:tcPr>
          <w:p w14:paraId="04EE3142">
            <w:pPr>
              <w:widowControl/>
              <w:jc w:val="center"/>
              <w:rPr>
                <w:rFonts w:ascii="宋体" w:hAnsi="宋体"/>
                <w:color w:val="000000"/>
                <w:kern w:val="0"/>
                <w:sz w:val="22"/>
                <w:szCs w:val="22"/>
              </w:rPr>
            </w:pPr>
            <w:r>
              <w:rPr>
                <w:rFonts w:hint="eastAsia" w:ascii="宋体" w:hAnsi="宋体"/>
                <w:color w:val="000000"/>
                <w:kern w:val="0"/>
                <w:sz w:val="22"/>
                <w:szCs w:val="22"/>
              </w:rPr>
              <w:t>安全保障</w:t>
            </w:r>
          </w:p>
          <w:p w14:paraId="40E46D98">
            <w:pPr>
              <w:widowControl/>
              <w:jc w:val="center"/>
              <w:rPr>
                <w:color w:val="000000"/>
                <w:kern w:val="0"/>
                <w:sz w:val="22"/>
                <w:szCs w:val="22"/>
              </w:rPr>
            </w:pPr>
            <w:r>
              <w:rPr>
                <w:rFonts w:hint="eastAsia" w:ascii="宋体" w:hAnsi="宋体"/>
                <w:color w:val="000000"/>
                <w:kern w:val="0"/>
                <w:sz w:val="22"/>
                <w:szCs w:val="22"/>
              </w:rPr>
              <w:t>（4分）</w:t>
            </w:r>
          </w:p>
        </w:tc>
        <w:tc>
          <w:tcPr>
            <w:tcW w:w="1560" w:type="dxa"/>
            <w:shd w:val="clear" w:color="auto" w:fill="auto"/>
            <w:vAlign w:val="center"/>
          </w:tcPr>
          <w:p w14:paraId="164D380A">
            <w:pPr>
              <w:widowControl/>
              <w:jc w:val="left"/>
              <w:rPr>
                <w:color w:val="000000"/>
                <w:kern w:val="0"/>
                <w:sz w:val="22"/>
                <w:szCs w:val="22"/>
              </w:rPr>
            </w:pPr>
            <w:r>
              <w:rPr>
                <w:rFonts w:hint="eastAsia" w:ascii="宋体" w:hAnsi="宋体"/>
                <w:color w:val="000000"/>
                <w:kern w:val="0"/>
                <w:sz w:val="22"/>
                <w:szCs w:val="22"/>
              </w:rPr>
              <w:t>安全管理</w:t>
            </w:r>
          </w:p>
        </w:tc>
        <w:tc>
          <w:tcPr>
            <w:tcW w:w="708" w:type="dxa"/>
            <w:shd w:val="clear" w:color="auto" w:fill="auto"/>
            <w:noWrap/>
            <w:vAlign w:val="center"/>
          </w:tcPr>
          <w:p w14:paraId="2B6B869D">
            <w:pPr>
              <w:widowControl/>
              <w:jc w:val="center"/>
              <w:rPr>
                <w:color w:val="000000"/>
                <w:kern w:val="0"/>
                <w:sz w:val="22"/>
                <w:szCs w:val="22"/>
              </w:rPr>
            </w:pPr>
            <w:r>
              <w:rPr>
                <w:color w:val="000000"/>
                <w:kern w:val="0"/>
                <w:sz w:val="22"/>
                <w:szCs w:val="22"/>
              </w:rPr>
              <w:t>2</w:t>
            </w:r>
          </w:p>
        </w:tc>
        <w:tc>
          <w:tcPr>
            <w:tcW w:w="1358" w:type="dxa"/>
            <w:shd w:val="clear" w:color="auto" w:fill="auto"/>
            <w:vAlign w:val="center"/>
          </w:tcPr>
          <w:p w14:paraId="57180A9A">
            <w:pPr>
              <w:widowControl/>
              <w:jc w:val="center"/>
              <w:rPr>
                <w:color w:val="000000"/>
                <w:kern w:val="0"/>
                <w:sz w:val="22"/>
                <w:szCs w:val="22"/>
              </w:rPr>
            </w:pPr>
            <w:r>
              <w:rPr>
                <w:rFonts w:hint="eastAsia" w:ascii="宋体" w:hAnsi="宋体"/>
                <w:color w:val="000000"/>
                <w:kern w:val="0"/>
                <w:sz w:val="22"/>
                <w:szCs w:val="22"/>
              </w:rPr>
              <w:t>资料收集与数据填报</w:t>
            </w:r>
          </w:p>
        </w:tc>
        <w:tc>
          <w:tcPr>
            <w:tcW w:w="7453" w:type="dxa"/>
            <w:shd w:val="clear" w:color="auto" w:fill="auto"/>
            <w:vAlign w:val="center"/>
          </w:tcPr>
          <w:p w14:paraId="505BA06B">
            <w:pPr>
              <w:widowControl/>
              <w:jc w:val="left"/>
              <w:rPr>
                <w:color w:val="000000"/>
                <w:kern w:val="0"/>
                <w:sz w:val="22"/>
                <w:szCs w:val="22"/>
              </w:rPr>
            </w:pPr>
            <w:r>
              <w:rPr>
                <w:rFonts w:hint="eastAsia" w:ascii="宋体" w:hAnsi="宋体"/>
                <w:color w:val="000000"/>
                <w:kern w:val="0"/>
                <w:sz w:val="22"/>
                <w:szCs w:val="22"/>
              </w:rPr>
              <w:t>采取有效防患措施，安全制度齐全，若发生安全责任事故的，本项不得分。</w:t>
            </w:r>
          </w:p>
        </w:tc>
      </w:tr>
      <w:tr w14:paraId="26313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704" w:type="dxa"/>
            <w:shd w:val="clear" w:color="auto" w:fill="auto"/>
            <w:noWrap/>
            <w:vAlign w:val="center"/>
          </w:tcPr>
          <w:p w14:paraId="5BE6AA6B">
            <w:pPr>
              <w:widowControl/>
              <w:jc w:val="center"/>
              <w:rPr>
                <w:color w:val="000000"/>
                <w:kern w:val="0"/>
                <w:sz w:val="22"/>
                <w:szCs w:val="22"/>
              </w:rPr>
            </w:pPr>
            <w:r>
              <w:rPr>
                <w:color w:val="000000"/>
                <w:kern w:val="0"/>
                <w:sz w:val="22"/>
                <w:szCs w:val="22"/>
              </w:rPr>
              <w:t>20</w:t>
            </w:r>
          </w:p>
        </w:tc>
        <w:tc>
          <w:tcPr>
            <w:tcW w:w="1139" w:type="dxa"/>
            <w:vMerge w:val="continue"/>
            <w:vAlign w:val="center"/>
          </w:tcPr>
          <w:p w14:paraId="3B249F8A">
            <w:pPr>
              <w:widowControl/>
              <w:jc w:val="left"/>
              <w:rPr>
                <w:color w:val="000000"/>
                <w:kern w:val="0"/>
                <w:sz w:val="22"/>
                <w:szCs w:val="22"/>
              </w:rPr>
            </w:pPr>
          </w:p>
        </w:tc>
        <w:tc>
          <w:tcPr>
            <w:tcW w:w="1335" w:type="dxa"/>
            <w:vMerge w:val="continue"/>
            <w:vAlign w:val="center"/>
          </w:tcPr>
          <w:p w14:paraId="070954B7">
            <w:pPr>
              <w:widowControl/>
              <w:jc w:val="left"/>
              <w:rPr>
                <w:color w:val="000000"/>
                <w:kern w:val="0"/>
                <w:sz w:val="22"/>
                <w:szCs w:val="22"/>
              </w:rPr>
            </w:pPr>
          </w:p>
        </w:tc>
        <w:tc>
          <w:tcPr>
            <w:tcW w:w="1560" w:type="dxa"/>
            <w:shd w:val="clear" w:color="auto" w:fill="auto"/>
            <w:vAlign w:val="center"/>
          </w:tcPr>
          <w:p w14:paraId="0C03B352">
            <w:pPr>
              <w:widowControl/>
              <w:jc w:val="left"/>
              <w:rPr>
                <w:color w:val="000000"/>
                <w:kern w:val="0"/>
                <w:sz w:val="22"/>
                <w:szCs w:val="22"/>
              </w:rPr>
            </w:pPr>
            <w:r>
              <w:rPr>
                <w:rFonts w:hint="eastAsia" w:ascii="宋体" w:hAnsi="宋体"/>
                <w:color w:val="000000"/>
                <w:kern w:val="0"/>
                <w:sz w:val="22"/>
                <w:szCs w:val="22"/>
              </w:rPr>
              <w:t>突发事件应急处理</w:t>
            </w:r>
          </w:p>
        </w:tc>
        <w:tc>
          <w:tcPr>
            <w:tcW w:w="708" w:type="dxa"/>
            <w:shd w:val="clear" w:color="auto" w:fill="auto"/>
            <w:noWrap/>
            <w:vAlign w:val="center"/>
          </w:tcPr>
          <w:p w14:paraId="0503052B">
            <w:pPr>
              <w:widowControl/>
              <w:jc w:val="center"/>
              <w:rPr>
                <w:color w:val="000000"/>
                <w:kern w:val="0"/>
                <w:sz w:val="22"/>
                <w:szCs w:val="22"/>
              </w:rPr>
            </w:pPr>
            <w:r>
              <w:rPr>
                <w:color w:val="000000"/>
                <w:kern w:val="0"/>
                <w:sz w:val="22"/>
                <w:szCs w:val="22"/>
              </w:rPr>
              <w:t>2</w:t>
            </w:r>
          </w:p>
        </w:tc>
        <w:tc>
          <w:tcPr>
            <w:tcW w:w="1358" w:type="dxa"/>
            <w:shd w:val="clear" w:color="auto" w:fill="auto"/>
            <w:vAlign w:val="center"/>
          </w:tcPr>
          <w:p w14:paraId="5FE9F4D2">
            <w:pPr>
              <w:widowControl/>
              <w:jc w:val="center"/>
              <w:rPr>
                <w:color w:val="000000"/>
                <w:kern w:val="0"/>
                <w:sz w:val="22"/>
                <w:szCs w:val="22"/>
              </w:rPr>
            </w:pPr>
            <w:r>
              <w:rPr>
                <w:rFonts w:hint="eastAsia" w:ascii="宋体" w:hAnsi="宋体"/>
                <w:color w:val="000000"/>
                <w:kern w:val="0"/>
                <w:sz w:val="22"/>
                <w:szCs w:val="22"/>
              </w:rPr>
              <w:t>资料收集与数据填报</w:t>
            </w:r>
          </w:p>
        </w:tc>
        <w:tc>
          <w:tcPr>
            <w:tcW w:w="7453" w:type="dxa"/>
            <w:shd w:val="clear" w:color="auto" w:fill="auto"/>
            <w:vAlign w:val="center"/>
          </w:tcPr>
          <w:p w14:paraId="2D6210F4">
            <w:pPr>
              <w:widowControl/>
              <w:jc w:val="left"/>
              <w:rPr>
                <w:color w:val="000000"/>
                <w:kern w:val="0"/>
                <w:sz w:val="22"/>
                <w:szCs w:val="22"/>
              </w:rPr>
            </w:pPr>
            <w:r>
              <w:rPr>
                <w:rFonts w:hint="eastAsia" w:ascii="宋体" w:hAnsi="宋体"/>
                <w:color w:val="000000"/>
                <w:kern w:val="0"/>
                <w:sz w:val="22"/>
                <w:szCs w:val="22"/>
              </w:rPr>
              <w:t>做好防台风、暴雨、大雪等极端天气的应对工作，突发事件、应急清障，在接到指令后</w:t>
            </w:r>
            <w:r>
              <w:rPr>
                <w:color w:val="000000"/>
                <w:kern w:val="0"/>
                <w:sz w:val="22"/>
                <w:szCs w:val="22"/>
              </w:rPr>
              <w:t>24</w:t>
            </w:r>
            <w:r>
              <w:rPr>
                <w:rFonts w:hint="eastAsia" w:ascii="宋体" w:hAnsi="宋体"/>
                <w:color w:val="000000"/>
                <w:kern w:val="0"/>
                <w:sz w:val="22"/>
                <w:szCs w:val="22"/>
              </w:rPr>
              <w:t>小时之内处理完毕，因响应处置不及时、不到位，造成人员伤亡、设施设备严重损失的，本项不得分。</w:t>
            </w:r>
          </w:p>
        </w:tc>
      </w:tr>
      <w:tr w14:paraId="61E9A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704" w:type="dxa"/>
            <w:shd w:val="clear" w:color="auto" w:fill="auto"/>
            <w:noWrap/>
            <w:vAlign w:val="center"/>
          </w:tcPr>
          <w:p w14:paraId="488C3EA4">
            <w:pPr>
              <w:widowControl/>
              <w:jc w:val="center"/>
              <w:rPr>
                <w:color w:val="000000"/>
                <w:kern w:val="0"/>
                <w:sz w:val="22"/>
                <w:szCs w:val="22"/>
              </w:rPr>
            </w:pPr>
            <w:r>
              <w:rPr>
                <w:color w:val="000000"/>
                <w:kern w:val="0"/>
                <w:sz w:val="22"/>
                <w:szCs w:val="22"/>
              </w:rPr>
              <w:t>21</w:t>
            </w:r>
          </w:p>
        </w:tc>
        <w:tc>
          <w:tcPr>
            <w:tcW w:w="1139" w:type="dxa"/>
            <w:shd w:val="clear" w:color="auto" w:fill="auto"/>
            <w:noWrap/>
            <w:vAlign w:val="center"/>
          </w:tcPr>
          <w:p w14:paraId="474BFAD6">
            <w:pPr>
              <w:widowControl/>
              <w:jc w:val="center"/>
              <w:rPr>
                <w:rFonts w:ascii="宋体" w:hAnsi="宋体"/>
                <w:color w:val="000000"/>
                <w:kern w:val="0"/>
                <w:sz w:val="22"/>
                <w:szCs w:val="22"/>
              </w:rPr>
            </w:pPr>
            <w:r>
              <w:rPr>
                <w:rFonts w:hint="eastAsia" w:ascii="宋体" w:hAnsi="宋体"/>
                <w:color w:val="000000"/>
                <w:kern w:val="0"/>
                <w:sz w:val="22"/>
                <w:szCs w:val="22"/>
              </w:rPr>
              <w:t>效果</w:t>
            </w:r>
          </w:p>
          <w:p w14:paraId="48E2B4BD">
            <w:pPr>
              <w:widowControl/>
              <w:jc w:val="center"/>
              <w:rPr>
                <w:color w:val="000000"/>
                <w:kern w:val="0"/>
                <w:sz w:val="22"/>
                <w:szCs w:val="22"/>
              </w:rPr>
            </w:pPr>
            <w:r>
              <w:rPr>
                <w:rFonts w:hint="eastAsia" w:ascii="宋体" w:hAnsi="宋体"/>
                <w:color w:val="000000"/>
                <w:kern w:val="0"/>
                <w:sz w:val="22"/>
                <w:szCs w:val="22"/>
              </w:rPr>
              <w:t>（3分）</w:t>
            </w:r>
          </w:p>
        </w:tc>
        <w:tc>
          <w:tcPr>
            <w:tcW w:w="1335" w:type="dxa"/>
            <w:shd w:val="clear" w:color="auto" w:fill="auto"/>
            <w:vAlign w:val="center"/>
          </w:tcPr>
          <w:p w14:paraId="3C3C9E10">
            <w:pPr>
              <w:widowControl/>
              <w:jc w:val="center"/>
              <w:rPr>
                <w:rFonts w:ascii="宋体" w:hAnsi="宋体"/>
                <w:color w:val="000000"/>
                <w:kern w:val="0"/>
                <w:sz w:val="22"/>
                <w:szCs w:val="22"/>
              </w:rPr>
            </w:pPr>
            <w:r>
              <w:rPr>
                <w:rFonts w:hint="eastAsia" w:ascii="宋体" w:hAnsi="宋体"/>
                <w:color w:val="000000"/>
                <w:kern w:val="0"/>
                <w:sz w:val="22"/>
                <w:szCs w:val="22"/>
              </w:rPr>
              <w:t>社会评价与影响</w:t>
            </w:r>
          </w:p>
          <w:p w14:paraId="7C8898C3">
            <w:pPr>
              <w:widowControl/>
              <w:jc w:val="center"/>
              <w:rPr>
                <w:color w:val="000000"/>
                <w:kern w:val="0"/>
                <w:sz w:val="22"/>
                <w:szCs w:val="22"/>
              </w:rPr>
            </w:pPr>
            <w:r>
              <w:rPr>
                <w:rFonts w:hint="eastAsia" w:ascii="宋体" w:hAnsi="宋体"/>
                <w:color w:val="000000"/>
                <w:kern w:val="0"/>
                <w:sz w:val="22"/>
                <w:szCs w:val="22"/>
              </w:rPr>
              <w:t>（3分）</w:t>
            </w:r>
          </w:p>
        </w:tc>
        <w:tc>
          <w:tcPr>
            <w:tcW w:w="1560" w:type="dxa"/>
            <w:shd w:val="clear" w:color="auto" w:fill="auto"/>
            <w:vAlign w:val="center"/>
          </w:tcPr>
          <w:p w14:paraId="1F595F96">
            <w:pPr>
              <w:widowControl/>
              <w:jc w:val="left"/>
              <w:rPr>
                <w:color w:val="000000"/>
                <w:kern w:val="0"/>
                <w:sz w:val="22"/>
                <w:szCs w:val="22"/>
              </w:rPr>
            </w:pPr>
            <w:r>
              <w:rPr>
                <w:rFonts w:hint="eastAsia" w:ascii="宋体" w:hAnsi="宋体"/>
                <w:color w:val="000000"/>
                <w:kern w:val="0"/>
                <w:sz w:val="22"/>
                <w:szCs w:val="22"/>
              </w:rPr>
              <w:t>社会公众评价良好</w:t>
            </w:r>
          </w:p>
        </w:tc>
        <w:tc>
          <w:tcPr>
            <w:tcW w:w="708" w:type="dxa"/>
            <w:shd w:val="clear" w:color="auto" w:fill="auto"/>
            <w:noWrap/>
            <w:vAlign w:val="center"/>
          </w:tcPr>
          <w:p w14:paraId="42B4C2F3">
            <w:pPr>
              <w:widowControl/>
              <w:jc w:val="center"/>
              <w:rPr>
                <w:color w:val="000000"/>
                <w:kern w:val="0"/>
                <w:sz w:val="22"/>
                <w:szCs w:val="22"/>
              </w:rPr>
            </w:pPr>
            <w:r>
              <w:rPr>
                <w:color w:val="000000"/>
                <w:kern w:val="0"/>
                <w:sz w:val="22"/>
                <w:szCs w:val="22"/>
              </w:rPr>
              <w:t>3</w:t>
            </w:r>
          </w:p>
        </w:tc>
        <w:tc>
          <w:tcPr>
            <w:tcW w:w="1358" w:type="dxa"/>
            <w:shd w:val="clear" w:color="auto" w:fill="auto"/>
            <w:vAlign w:val="center"/>
          </w:tcPr>
          <w:p w14:paraId="2BA7CCBB">
            <w:pPr>
              <w:widowControl/>
              <w:jc w:val="center"/>
              <w:rPr>
                <w:color w:val="000000"/>
                <w:kern w:val="0"/>
                <w:sz w:val="22"/>
                <w:szCs w:val="22"/>
              </w:rPr>
            </w:pPr>
            <w:r>
              <w:rPr>
                <w:rFonts w:hint="eastAsia" w:ascii="宋体" w:hAnsi="宋体"/>
                <w:color w:val="000000"/>
                <w:kern w:val="0"/>
                <w:sz w:val="22"/>
                <w:szCs w:val="22"/>
              </w:rPr>
              <w:t>资料收集与数据填报</w:t>
            </w:r>
          </w:p>
        </w:tc>
        <w:tc>
          <w:tcPr>
            <w:tcW w:w="7453" w:type="dxa"/>
            <w:shd w:val="clear" w:color="auto" w:fill="auto"/>
            <w:vAlign w:val="center"/>
          </w:tcPr>
          <w:p w14:paraId="5F65DD5A">
            <w:pPr>
              <w:widowControl/>
              <w:jc w:val="left"/>
              <w:rPr>
                <w:color w:val="000000"/>
                <w:kern w:val="0"/>
                <w:sz w:val="22"/>
                <w:szCs w:val="22"/>
              </w:rPr>
            </w:pPr>
            <w:r>
              <w:rPr>
                <w:rFonts w:hint="eastAsia" w:ascii="宋体" w:hAnsi="宋体"/>
                <w:color w:val="000000"/>
                <w:kern w:val="0"/>
                <w:sz w:val="22"/>
                <w:szCs w:val="22"/>
              </w:rPr>
              <w:t>体现经常性管理，接受监督，若有不良反应与社会舆情的，被投诉举报、媒体曝光，每次扣</w:t>
            </w:r>
            <w:r>
              <w:rPr>
                <w:color w:val="000000"/>
                <w:kern w:val="0"/>
                <w:sz w:val="22"/>
                <w:szCs w:val="22"/>
              </w:rPr>
              <w:t>0.1</w:t>
            </w:r>
            <w:r>
              <w:rPr>
                <w:rFonts w:hint="eastAsia"/>
                <w:color w:val="000000"/>
                <w:kern w:val="0"/>
                <w:sz w:val="22"/>
                <w:szCs w:val="22"/>
              </w:rPr>
              <w:t>5</w:t>
            </w:r>
            <w:r>
              <w:rPr>
                <w:rFonts w:hint="eastAsia" w:ascii="宋体" w:hAnsi="宋体"/>
                <w:color w:val="000000"/>
                <w:kern w:val="0"/>
                <w:sz w:val="22"/>
                <w:szCs w:val="22"/>
              </w:rPr>
              <w:t>分。</w:t>
            </w:r>
          </w:p>
        </w:tc>
      </w:tr>
      <w:tr w14:paraId="770AE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704" w:type="dxa"/>
            <w:shd w:val="clear" w:color="auto" w:fill="auto"/>
            <w:noWrap/>
            <w:vAlign w:val="center"/>
          </w:tcPr>
          <w:p w14:paraId="5AD679B9">
            <w:pPr>
              <w:widowControl/>
              <w:jc w:val="center"/>
              <w:rPr>
                <w:color w:val="000000"/>
                <w:kern w:val="0"/>
                <w:sz w:val="22"/>
                <w:szCs w:val="22"/>
              </w:rPr>
            </w:pPr>
            <w:r>
              <w:rPr>
                <w:color w:val="000000"/>
                <w:kern w:val="0"/>
                <w:sz w:val="22"/>
                <w:szCs w:val="22"/>
              </w:rPr>
              <w:t>22</w:t>
            </w:r>
          </w:p>
        </w:tc>
        <w:tc>
          <w:tcPr>
            <w:tcW w:w="1139" w:type="dxa"/>
            <w:vMerge w:val="restart"/>
            <w:shd w:val="clear" w:color="auto" w:fill="auto"/>
            <w:noWrap/>
            <w:vAlign w:val="center"/>
          </w:tcPr>
          <w:p w14:paraId="7108A424">
            <w:pPr>
              <w:widowControl/>
              <w:jc w:val="center"/>
              <w:rPr>
                <w:rFonts w:ascii="宋体" w:hAnsi="宋体"/>
                <w:color w:val="000000"/>
                <w:kern w:val="0"/>
                <w:sz w:val="22"/>
                <w:szCs w:val="22"/>
              </w:rPr>
            </w:pPr>
            <w:r>
              <w:rPr>
                <w:rFonts w:hint="eastAsia" w:ascii="宋体" w:hAnsi="宋体"/>
                <w:color w:val="000000"/>
                <w:kern w:val="0"/>
                <w:sz w:val="22"/>
                <w:szCs w:val="22"/>
              </w:rPr>
              <w:t>管理</w:t>
            </w:r>
          </w:p>
          <w:p w14:paraId="738DF588">
            <w:pPr>
              <w:widowControl/>
              <w:jc w:val="center"/>
              <w:rPr>
                <w:color w:val="000000"/>
                <w:kern w:val="0"/>
                <w:sz w:val="22"/>
                <w:szCs w:val="22"/>
              </w:rPr>
            </w:pPr>
            <w:r>
              <w:rPr>
                <w:rFonts w:hint="eastAsia" w:ascii="宋体" w:hAnsi="宋体"/>
                <w:color w:val="000000"/>
                <w:kern w:val="0"/>
                <w:sz w:val="22"/>
                <w:szCs w:val="22"/>
              </w:rPr>
              <w:t>（11分）</w:t>
            </w:r>
          </w:p>
        </w:tc>
        <w:tc>
          <w:tcPr>
            <w:tcW w:w="1335" w:type="dxa"/>
            <w:vMerge w:val="restart"/>
            <w:shd w:val="clear" w:color="auto" w:fill="auto"/>
            <w:noWrap/>
            <w:vAlign w:val="center"/>
          </w:tcPr>
          <w:p w14:paraId="2811575F">
            <w:pPr>
              <w:widowControl/>
              <w:jc w:val="center"/>
              <w:rPr>
                <w:rFonts w:ascii="宋体" w:hAnsi="宋体"/>
                <w:color w:val="000000"/>
                <w:kern w:val="0"/>
                <w:sz w:val="22"/>
                <w:szCs w:val="22"/>
              </w:rPr>
            </w:pPr>
            <w:r>
              <w:rPr>
                <w:rFonts w:hint="eastAsia" w:ascii="宋体" w:hAnsi="宋体"/>
                <w:color w:val="000000"/>
                <w:kern w:val="0"/>
                <w:sz w:val="22"/>
                <w:szCs w:val="22"/>
              </w:rPr>
              <w:t>组织制度管理</w:t>
            </w:r>
          </w:p>
          <w:p w14:paraId="3C519FD1">
            <w:pPr>
              <w:widowControl/>
              <w:jc w:val="center"/>
              <w:rPr>
                <w:color w:val="000000"/>
                <w:kern w:val="0"/>
                <w:sz w:val="22"/>
                <w:szCs w:val="22"/>
              </w:rPr>
            </w:pPr>
            <w:r>
              <w:rPr>
                <w:rFonts w:hint="eastAsia" w:ascii="宋体" w:hAnsi="宋体"/>
                <w:color w:val="000000"/>
                <w:kern w:val="0"/>
                <w:sz w:val="22"/>
                <w:szCs w:val="22"/>
              </w:rPr>
              <w:t>（5分）</w:t>
            </w:r>
          </w:p>
        </w:tc>
        <w:tc>
          <w:tcPr>
            <w:tcW w:w="1560" w:type="dxa"/>
            <w:shd w:val="clear" w:color="auto" w:fill="auto"/>
            <w:vAlign w:val="center"/>
          </w:tcPr>
          <w:p w14:paraId="226CF9A2">
            <w:pPr>
              <w:widowControl/>
              <w:jc w:val="left"/>
              <w:rPr>
                <w:color w:val="000000"/>
                <w:kern w:val="0"/>
                <w:sz w:val="22"/>
                <w:szCs w:val="22"/>
              </w:rPr>
            </w:pPr>
            <w:r>
              <w:rPr>
                <w:rFonts w:hint="eastAsia" w:ascii="宋体" w:hAnsi="宋体"/>
                <w:color w:val="000000"/>
                <w:kern w:val="0"/>
                <w:sz w:val="22"/>
                <w:szCs w:val="22"/>
              </w:rPr>
              <w:t>落实管理责任主体，明确管理职责、单位负责人和技术负责人</w:t>
            </w:r>
          </w:p>
        </w:tc>
        <w:tc>
          <w:tcPr>
            <w:tcW w:w="708" w:type="dxa"/>
            <w:shd w:val="clear" w:color="auto" w:fill="auto"/>
            <w:noWrap/>
            <w:vAlign w:val="center"/>
          </w:tcPr>
          <w:p w14:paraId="49B1741F">
            <w:pPr>
              <w:widowControl/>
              <w:jc w:val="center"/>
              <w:rPr>
                <w:color w:val="000000"/>
                <w:kern w:val="0"/>
                <w:sz w:val="22"/>
                <w:szCs w:val="22"/>
              </w:rPr>
            </w:pPr>
            <w:r>
              <w:rPr>
                <w:color w:val="000000"/>
                <w:kern w:val="0"/>
                <w:sz w:val="22"/>
                <w:szCs w:val="22"/>
              </w:rPr>
              <w:t>3</w:t>
            </w:r>
          </w:p>
        </w:tc>
        <w:tc>
          <w:tcPr>
            <w:tcW w:w="1358" w:type="dxa"/>
            <w:shd w:val="clear" w:color="auto" w:fill="auto"/>
            <w:vAlign w:val="center"/>
          </w:tcPr>
          <w:p w14:paraId="37C0B2E9">
            <w:pPr>
              <w:widowControl/>
              <w:jc w:val="center"/>
              <w:rPr>
                <w:rFonts w:ascii="宋体" w:hAnsi="宋体"/>
                <w:color w:val="000000"/>
                <w:kern w:val="0"/>
                <w:sz w:val="22"/>
                <w:szCs w:val="22"/>
              </w:rPr>
            </w:pPr>
            <w:r>
              <w:rPr>
                <w:rFonts w:hint="eastAsia" w:ascii="宋体" w:hAnsi="宋体"/>
                <w:color w:val="000000"/>
                <w:kern w:val="0"/>
                <w:sz w:val="22"/>
                <w:szCs w:val="22"/>
              </w:rPr>
              <w:t>案卷研究</w:t>
            </w:r>
          </w:p>
          <w:p w14:paraId="769C72D4">
            <w:pPr>
              <w:widowControl/>
              <w:jc w:val="center"/>
              <w:rPr>
                <w:color w:val="000000"/>
                <w:kern w:val="0"/>
                <w:sz w:val="22"/>
                <w:szCs w:val="22"/>
              </w:rPr>
            </w:pPr>
            <w:r>
              <w:rPr>
                <w:rFonts w:hint="eastAsia" w:ascii="宋体" w:hAnsi="宋体"/>
                <w:color w:val="000000"/>
                <w:kern w:val="0"/>
                <w:sz w:val="22"/>
                <w:szCs w:val="22"/>
              </w:rPr>
              <w:t>实地调研</w:t>
            </w:r>
          </w:p>
        </w:tc>
        <w:tc>
          <w:tcPr>
            <w:tcW w:w="7453" w:type="dxa"/>
            <w:shd w:val="clear" w:color="auto" w:fill="auto"/>
            <w:vAlign w:val="center"/>
          </w:tcPr>
          <w:p w14:paraId="6AEE1537">
            <w:pPr>
              <w:widowControl/>
              <w:jc w:val="left"/>
              <w:rPr>
                <w:rFonts w:ascii="宋体" w:hAnsi="宋体"/>
                <w:color w:val="000000"/>
                <w:kern w:val="0"/>
                <w:sz w:val="22"/>
                <w:szCs w:val="22"/>
              </w:rPr>
            </w:pPr>
            <w:r>
              <w:rPr>
                <w:color w:val="000000"/>
                <w:kern w:val="0"/>
                <w:sz w:val="22"/>
                <w:szCs w:val="22"/>
              </w:rPr>
              <w:t>1.</w:t>
            </w:r>
            <w:r>
              <w:rPr>
                <w:rFonts w:hint="eastAsia" w:ascii="宋体" w:hAnsi="宋体"/>
                <w:color w:val="000000"/>
                <w:kern w:val="0"/>
                <w:sz w:val="22"/>
                <w:szCs w:val="22"/>
              </w:rPr>
              <w:t>领导机构健全，日常运作机构明确，责任到位，制度健全，不达标的扣</w:t>
            </w:r>
            <w:r>
              <w:rPr>
                <w:color w:val="000000"/>
                <w:kern w:val="0"/>
                <w:sz w:val="22"/>
                <w:szCs w:val="22"/>
              </w:rPr>
              <w:t>1</w:t>
            </w:r>
            <w:r>
              <w:rPr>
                <w:rFonts w:hint="eastAsia" w:ascii="宋体" w:hAnsi="宋体"/>
                <w:color w:val="000000"/>
                <w:kern w:val="0"/>
                <w:sz w:val="22"/>
                <w:szCs w:val="22"/>
              </w:rPr>
              <w:t>分；</w:t>
            </w:r>
          </w:p>
          <w:p w14:paraId="4AB0D5E4">
            <w:pPr>
              <w:widowControl/>
              <w:jc w:val="left"/>
              <w:rPr>
                <w:rFonts w:ascii="宋体" w:hAnsi="宋体"/>
                <w:color w:val="000000"/>
                <w:kern w:val="0"/>
                <w:sz w:val="22"/>
                <w:szCs w:val="22"/>
              </w:rPr>
            </w:pPr>
            <w:r>
              <w:rPr>
                <w:color w:val="000000"/>
                <w:kern w:val="0"/>
                <w:sz w:val="22"/>
                <w:szCs w:val="22"/>
              </w:rPr>
              <w:t>2.</w:t>
            </w:r>
            <w:r>
              <w:rPr>
                <w:rFonts w:hint="eastAsia" w:ascii="宋体" w:hAnsi="宋体"/>
                <w:color w:val="000000"/>
                <w:kern w:val="0"/>
                <w:sz w:val="22"/>
                <w:szCs w:val="22"/>
              </w:rPr>
              <w:t>未书面明确管理责任主体职责的，扣</w:t>
            </w:r>
            <w:r>
              <w:rPr>
                <w:color w:val="000000"/>
                <w:kern w:val="0"/>
                <w:sz w:val="22"/>
                <w:szCs w:val="22"/>
              </w:rPr>
              <w:t>1</w:t>
            </w:r>
            <w:r>
              <w:rPr>
                <w:rFonts w:hint="eastAsia" w:ascii="宋体" w:hAnsi="宋体"/>
                <w:color w:val="000000"/>
                <w:kern w:val="0"/>
                <w:sz w:val="22"/>
                <w:szCs w:val="22"/>
              </w:rPr>
              <w:t>分；</w:t>
            </w:r>
          </w:p>
          <w:p w14:paraId="7D0A6FDB">
            <w:pPr>
              <w:widowControl/>
              <w:jc w:val="left"/>
              <w:rPr>
                <w:rFonts w:ascii="宋体" w:hAnsi="宋体"/>
                <w:color w:val="000000"/>
                <w:kern w:val="0"/>
                <w:sz w:val="22"/>
                <w:szCs w:val="22"/>
              </w:rPr>
            </w:pPr>
            <w:r>
              <w:rPr>
                <w:color w:val="000000"/>
                <w:kern w:val="0"/>
                <w:sz w:val="22"/>
                <w:szCs w:val="22"/>
              </w:rPr>
              <w:t>3.</w:t>
            </w:r>
            <w:r>
              <w:rPr>
                <w:rFonts w:hint="eastAsia" w:ascii="宋体" w:hAnsi="宋体"/>
                <w:color w:val="000000"/>
                <w:kern w:val="0"/>
                <w:sz w:val="22"/>
                <w:szCs w:val="22"/>
              </w:rPr>
              <w:t>单位负责人无书面材料明确或未在岗履行职责的，扣</w:t>
            </w:r>
            <w:r>
              <w:rPr>
                <w:color w:val="000000"/>
                <w:kern w:val="0"/>
                <w:sz w:val="22"/>
                <w:szCs w:val="22"/>
              </w:rPr>
              <w:t>0.5</w:t>
            </w:r>
            <w:r>
              <w:rPr>
                <w:rFonts w:hint="eastAsia" w:ascii="宋体" w:hAnsi="宋体"/>
                <w:color w:val="000000"/>
                <w:kern w:val="0"/>
                <w:sz w:val="22"/>
                <w:szCs w:val="22"/>
              </w:rPr>
              <w:t>分；</w:t>
            </w:r>
          </w:p>
          <w:p w14:paraId="14721135">
            <w:pPr>
              <w:widowControl/>
              <w:jc w:val="left"/>
              <w:rPr>
                <w:color w:val="000000"/>
                <w:kern w:val="0"/>
                <w:sz w:val="22"/>
                <w:szCs w:val="22"/>
              </w:rPr>
            </w:pPr>
            <w:r>
              <w:rPr>
                <w:color w:val="000000"/>
                <w:kern w:val="0"/>
                <w:sz w:val="22"/>
                <w:szCs w:val="22"/>
              </w:rPr>
              <w:t>4.</w:t>
            </w:r>
            <w:r>
              <w:rPr>
                <w:rFonts w:hint="eastAsia" w:ascii="宋体" w:hAnsi="宋体"/>
                <w:color w:val="000000"/>
                <w:kern w:val="0"/>
                <w:sz w:val="22"/>
                <w:szCs w:val="22"/>
              </w:rPr>
              <w:t>单位技术负责人无书面材料明确或未在岗履行职责的，扣</w:t>
            </w:r>
            <w:r>
              <w:rPr>
                <w:color w:val="000000"/>
                <w:kern w:val="0"/>
                <w:sz w:val="22"/>
                <w:szCs w:val="22"/>
              </w:rPr>
              <w:t>0.5</w:t>
            </w:r>
            <w:r>
              <w:rPr>
                <w:rFonts w:hint="eastAsia" w:ascii="宋体" w:hAnsi="宋体"/>
                <w:color w:val="000000"/>
                <w:kern w:val="0"/>
                <w:sz w:val="22"/>
                <w:szCs w:val="22"/>
              </w:rPr>
              <w:t>分。</w:t>
            </w:r>
          </w:p>
        </w:tc>
      </w:tr>
      <w:tr w14:paraId="32B36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04" w:type="dxa"/>
            <w:shd w:val="clear" w:color="auto" w:fill="auto"/>
            <w:noWrap/>
            <w:vAlign w:val="center"/>
          </w:tcPr>
          <w:p w14:paraId="77502B41">
            <w:pPr>
              <w:widowControl/>
              <w:jc w:val="center"/>
              <w:rPr>
                <w:color w:val="000000"/>
                <w:kern w:val="0"/>
                <w:sz w:val="22"/>
                <w:szCs w:val="22"/>
              </w:rPr>
            </w:pPr>
            <w:r>
              <w:rPr>
                <w:color w:val="000000"/>
                <w:kern w:val="0"/>
                <w:sz w:val="22"/>
                <w:szCs w:val="22"/>
              </w:rPr>
              <w:t>23</w:t>
            </w:r>
          </w:p>
        </w:tc>
        <w:tc>
          <w:tcPr>
            <w:tcW w:w="1139" w:type="dxa"/>
            <w:vMerge w:val="continue"/>
            <w:vAlign w:val="center"/>
          </w:tcPr>
          <w:p w14:paraId="59985A6B">
            <w:pPr>
              <w:widowControl/>
              <w:jc w:val="left"/>
              <w:rPr>
                <w:color w:val="000000"/>
                <w:kern w:val="0"/>
                <w:sz w:val="22"/>
                <w:szCs w:val="22"/>
              </w:rPr>
            </w:pPr>
          </w:p>
        </w:tc>
        <w:tc>
          <w:tcPr>
            <w:tcW w:w="1335" w:type="dxa"/>
            <w:vMerge w:val="continue"/>
            <w:vAlign w:val="center"/>
          </w:tcPr>
          <w:p w14:paraId="44D193D0">
            <w:pPr>
              <w:widowControl/>
              <w:jc w:val="left"/>
              <w:rPr>
                <w:color w:val="000000"/>
                <w:kern w:val="0"/>
                <w:sz w:val="22"/>
                <w:szCs w:val="22"/>
              </w:rPr>
            </w:pPr>
          </w:p>
        </w:tc>
        <w:tc>
          <w:tcPr>
            <w:tcW w:w="1560" w:type="dxa"/>
            <w:shd w:val="clear" w:color="auto" w:fill="auto"/>
            <w:vAlign w:val="center"/>
          </w:tcPr>
          <w:p w14:paraId="37205D58">
            <w:pPr>
              <w:widowControl/>
              <w:jc w:val="left"/>
              <w:rPr>
                <w:color w:val="000000"/>
                <w:kern w:val="0"/>
                <w:sz w:val="22"/>
                <w:szCs w:val="22"/>
              </w:rPr>
            </w:pPr>
            <w:r>
              <w:rPr>
                <w:rFonts w:hint="eastAsia" w:ascii="宋体" w:hAnsi="宋体"/>
                <w:color w:val="000000"/>
                <w:kern w:val="0"/>
                <w:sz w:val="22"/>
                <w:szCs w:val="22"/>
              </w:rPr>
              <w:t>管理制度健全，运维队伍稳定</w:t>
            </w:r>
          </w:p>
        </w:tc>
        <w:tc>
          <w:tcPr>
            <w:tcW w:w="708" w:type="dxa"/>
            <w:shd w:val="clear" w:color="auto" w:fill="auto"/>
            <w:noWrap/>
            <w:vAlign w:val="center"/>
          </w:tcPr>
          <w:p w14:paraId="6FA9B715">
            <w:pPr>
              <w:widowControl/>
              <w:jc w:val="center"/>
              <w:rPr>
                <w:color w:val="000000"/>
                <w:kern w:val="0"/>
                <w:sz w:val="22"/>
                <w:szCs w:val="22"/>
              </w:rPr>
            </w:pPr>
            <w:r>
              <w:rPr>
                <w:color w:val="000000"/>
                <w:kern w:val="0"/>
                <w:sz w:val="22"/>
                <w:szCs w:val="22"/>
              </w:rPr>
              <w:t>1</w:t>
            </w:r>
          </w:p>
        </w:tc>
        <w:tc>
          <w:tcPr>
            <w:tcW w:w="1358" w:type="dxa"/>
            <w:shd w:val="clear" w:color="auto" w:fill="auto"/>
            <w:vAlign w:val="center"/>
          </w:tcPr>
          <w:p w14:paraId="5CE190B8">
            <w:pPr>
              <w:widowControl/>
              <w:jc w:val="center"/>
              <w:rPr>
                <w:rFonts w:ascii="宋体" w:hAnsi="宋体"/>
                <w:color w:val="000000"/>
                <w:kern w:val="0"/>
                <w:sz w:val="22"/>
                <w:szCs w:val="22"/>
              </w:rPr>
            </w:pPr>
            <w:r>
              <w:rPr>
                <w:rFonts w:hint="eastAsia" w:ascii="宋体" w:hAnsi="宋体"/>
                <w:color w:val="000000"/>
                <w:kern w:val="0"/>
                <w:sz w:val="22"/>
                <w:szCs w:val="22"/>
              </w:rPr>
              <w:t>案卷研究</w:t>
            </w:r>
          </w:p>
          <w:p w14:paraId="5479D8DB">
            <w:pPr>
              <w:widowControl/>
              <w:jc w:val="center"/>
              <w:rPr>
                <w:color w:val="000000"/>
                <w:kern w:val="0"/>
                <w:sz w:val="22"/>
                <w:szCs w:val="22"/>
              </w:rPr>
            </w:pPr>
            <w:r>
              <w:rPr>
                <w:rFonts w:hint="eastAsia" w:ascii="宋体" w:hAnsi="宋体"/>
                <w:color w:val="000000"/>
                <w:kern w:val="0"/>
                <w:sz w:val="22"/>
                <w:szCs w:val="22"/>
              </w:rPr>
              <w:t>实地调研</w:t>
            </w:r>
          </w:p>
        </w:tc>
        <w:tc>
          <w:tcPr>
            <w:tcW w:w="7453" w:type="dxa"/>
            <w:shd w:val="clear" w:color="auto" w:fill="auto"/>
            <w:vAlign w:val="center"/>
          </w:tcPr>
          <w:p w14:paraId="6181269E">
            <w:pPr>
              <w:widowControl/>
              <w:jc w:val="left"/>
              <w:rPr>
                <w:color w:val="000000"/>
                <w:kern w:val="0"/>
                <w:sz w:val="22"/>
                <w:szCs w:val="22"/>
              </w:rPr>
            </w:pPr>
            <w:r>
              <w:rPr>
                <w:rFonts w:hint="eastAsia" w:ascii="宋体" w:hAnsi="宋体"/>
                <w:color w:val="000000"/>
                <w:kern w:val="0"/>
                <w:sz w:val="22"/>
                <w:szCs w:val="22"/>
              </w:rPr>
              <w:t>未建立健全相关管理制度、运维考评机制的扣</w:t>
            </w:r>
            <w:r>
              <w:rPr>
                <w:color w:val="000000"/>
                <w:kern w:val="0"/>
                <w:sz w:val="22"/>
                <w:szCs w:val="22"/>
              </w:rPr>
              <w:t>0.5</w:t>
            </w:r>
            <w:r>
              <w:rPr>
                <w:rFonts w:hint="eastAsia" w:ascii="宋体" w:hAnsi="宋体"/>
                <w:color w:val="000000"/>
                <w:kern w:val="0"/>
                <w:sz w:val="22"/>
                <w:szCs w:val="22"/>
              </w:rPr>
              <w:t>分，未落实运维队伍，运维队伍不稳定，工作成效较低的扣</w:t>
            </w:r>
            <w:r>
              <w:rPr>
                <w:color w:val="000000"/>
                <w:kern w:val="0"/>
                <w:sz w:val="22"/>
                <w:szCs w:val="22"/>
              </w:rPr>
              <w:t>0.5</w:t>
            </w:r>
            <w:r>
              <w:rPr>
                <w:rFonts w:hint="eastAsia" w:ascii="宋体" w:hAnsi="宋体"/>
                <w:color w:val="000000"/>
                <w:kern w:val="0"/>
                <w:sz w:val="22"/>
                <w:szCs w:val="22"/>
              </w:rPr>
              <w:t>分。</w:t>
            </w:r>
          </w:p>
        </w:tc>
      </w:tr>
      <w:tr w14:paraId="3D18C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04" w:type="dxa"/>
            <w:shd w:val="clear" w:color="auto" w:fill="auto"/>
            <w:noWrap/>
            <w:vAlign w:val="center"/>
          </w:tcPr>
          <w:p w14:paraId="28496F43">
            <w:pPr>
              <w:widowControl/>
              <w:jc w:val="center"/>
              <w:rPr>
                <w:color w:val="000000"/>
                <w:kern w:val="0"/>
                <w:sz w:val="22"/>
                <w:szCs w:val="22"/>
              </w:rPr>
            </w:pPr>
            <w:r>
              <w:rPr>
                <w:color w:val="000000"/>
                <w:kern w:val="0"/>
                <w:sz w:val="22"/>
                <w:szCs w:val="22"/>
              </w:rPr>
              <w:t>24</w:t>
            </w:r>
          </w:p>
        </w:tc>
        <w:tc>
          <w:tcPr>
            <w:tcW w:w="1139" w:type="dxa"/>
            <w:vMerge w:val="continue"/>
            <w:vAlign w:val="center"/>
          </w:tcPr>
          <w:p w14:paraId="243E1550">
            <w:pPr>
              <w:widowControl/>
              <w:jc w:val="left"/>
              <w:rPr>
                <w:color w:val="000000"/>
                <w:kern w:val="0"/>
                <w:sz w:val="22"/>
                <w:szCs w:val="22"/>
              </w:rPr>
            </w:pPr>
          </w:p>
        </w:tc>
        <w:tc>
          <w:tcPr>
            <w:tcW w:w="1335" w:type="dxa"/>
            <w:vMerge w:val="continue"/>
            <w:vAlign w:val="center"/>
          </w:tcPr>
          <w:p w14:paraId="7CC46BD6">
            <w:pPr>
              <w:widowControl/>
              <w:jc w:val="left"/>
              <w:rPr>
                <w:color w:val="000000"/>
                <w:kern w:val="0"/>
                <w:sz w:val="22"/>
                <w:szCs w:val="22"/>
              </w:rPr>
            </w:pPr>
          </w:p>
        </w:tc>
        <w:tc>
          <w:tcPr>
            <w:tcW w:w="1560" w:type="dxa"/>
            <w:shd w:val="clear" w:color="auto" w:fill="auto"/>
            <w:vAlign w:val="center"/>
          </w:tcPr>
          <w:p w14:paraId="1669DF6A">
            <w:pPr>
              <w:widowControl/>
              <w:jc w:val="left"/>
              <w:rPr>
                <w:color w:val="000000"/>
                <w:kern w:val="0"/>
                <w:sz w:val="22"/>
                <w:szCs w:val="22"/>
              </w:rPr>
            </w:pPr>
            <w:r>
              <w:rPr>
                <w:rFonts w:hint="eastAsia" w:ascii="宋体" w:hAnsi="宋体"/>
                <w:color w:val="000000"/>
                <w:kern w:val="0"/>
                <w:sz w:val="22"/>
                <w:szCs w:val="22"/>
              </w:rPr>
              <w:t>制定人员教育培训计划，组织人员培训</w:t>
            </w:r>
          </w:p>
        </w:tc>
        <w:tc>
          <w:tcPr>
            <w:tcW w:w="708" w:type="dxa"/>
            <w:shd w:val="clear" w:color="auto" w:fill="auto"/>
            <w:noWrap/>
            <w:vAlign w:val="center"/>
          </w:tcPr>
          <w:p w14:paraId="76ACA3EC">
            <w:pPr>
              <w:widowControl/>
              <w:jc w:val="center"/>
              <w:rPr>
                <w:color w:val="000000"/>
                <w:kern w:val="0"/>
                <w:sz w:val="22"/>
                <w:szCs w:val="22"/>
              </w:rPr>
            </w:pPr>
            <w:r>
              <w:rPr>
                <w:color w:val="000000"/>
                <w:kern w:val="0"/>
                <w:sz w:val="22"/>
                <w:szCs w:val="22"/>
              </w:rPr>
              <w:t>1</w:t>
            </w:r>
          </w:p>
        </w:tc>
        <w:tc>
          <w:tcPr>
            <w:tcW w:w="1358" w:type="dxa"/>
            <w:shd w:val="clear" w:color="auto" w:fill="auto"/>
            <w:vAlign w:val="center"/>
          </w:tcPr>
          <w:p w14:paraId="58197A56">
            <w:pPr>
              <w:widowControl/>
              <w:jc w:val="center"/>
              <w:rPr>
                <w:rFonts w:ascii="宋体" w:hAnsi="宋体" w:cs="宋体"/>
                <w:color w:val="000000"/>
                <w:kern w:val="0"/>
                <w:sz w:val="22"/>
                <w:szCs w:val="22"/>
              </w:rPr>
            </w:pPr>
            <w:r>
              <w:rPr>
                <w:rFonts w:hint="eastAsia" w:ascii="宋体" w:hAnsi="宋体" w:cs="宋体"/>
                <w:color w:val="000000"/>
                <w:kern w:val="0"/>
                <w:sz w:val="22"/>
                <w:szCs w:val="22"/>
              </w:rPr>
              <w:t>案卷研究</w:t>
            </w:r>
          </w:p>
          <w:p w14:paraId="64771AC5">
            <w:pPr>
              <w:widowControl/>
              <w:jc w:val="center"/>
              <w:rPr>
                <w:rFonts w:ascii="宋体" w:hAnsi="宋体" w:cs="宋体"/>
                <w:color w:val="000000"/>
                <w:kern w:val="0"/>
                <w:sz w:val="22"/>
                <w:szCs w:val="22"/>
              </w:rPr>
            </w:pPr>
            <w:r>
              <w:rPr>
                <w:rFonts w:hint="eastAsia" w:ascii="宋体" w:hAnsi="宋体" w:cs="宋体"/>
                <w:color w:val="000000"/>
                <w:kern w:val="0"/>
                <w:sz w:val="22"/>
                <w:szCs w:val="22"/>
              </w:rPr>
              <w:t>实地调研</w:t>
            </w:r>
          </w:p>
        </w:tc>
        <w:tc>
          <w:tcPr>
            <w:tcW w:w="7453" w:type="dxa"/>
            <w:shd w:val="clear" w:color="auto" w:fill="auto"/>
            <w:vAlign w:val="center"/>
          </w:tcPr>
          <w:p w14:paraId="484AD620">
            <w:pPr>
              <w:widowControl/>
              <w:jc w:val="left"/>
              <w:rPr>
                <w:rFonts w:ascii="宋体" w:hAnsi="宋体"/>
                <w:color w:val="000000"/>
                <w:kern w:val="0"/>
                <w:sz w:val="22"/>
                <w:szCs w:val="22"/>
              </w:rPr>
            </w:pPr>
            <w:r>
              <w:rPr>
                <w:color w:val="000000"/>
                <w:kern w:val="0"/>
                <w:sz w:val="22"/>
                <w:szCs w:val="22"/>
              </w:rPr>
              <w:t>1.</w:t>
            </w:r>
            <w:r>
              <w:rPr>
                <w:rFonts w:hint="eastAsia" w:ascii="宋体" w:hAnsi="宋体"/>
                <w:color w:val="000000"/>
                <w:kern w:val="0"/>
                <w:sz w:val="22"/>
                <w:szCs w:val="22"/>
              </w:rPr>
              <w:t>无职工培训计划，或有计划但未按计划落实的，扣</w:t>
            </w:r>
            <w:r>
              <w:rPr>
                <w:color w:val="000000"/>
                <w:kern w:val="0"/>
                <w:sz w:val="22"/>
                <w:szCs w:val="22"/>
              </w:rPr>
              <w:t>0.2</w:t>
            </w:r>
            <w:r>
              <w:rPr>
                <w:rFonts w:hint="eastAsia" w:ascii="宋体" w:hAnsi="宋体"/>
                <w:color w:val="000000"/>
                <w:kern w:val="0"/>
                <w:sz w:val="22"/>
                <w:szCs w:val="22"/>
              </w:rPr>
              <w:t>分。</w:t>
            </w:r>
          </w:p>
          <w:p w14:paraId="7A056C4D">
            <w:pPr>
              <w:widowControl/>
              <w:jc w:val="left"/>
              <w:rPr>
                <w:color w:val="000000"/>
                <w:kern w:val="0"/>
                <w:sz w:val="22"/>
                <w:szCs w:val="22"/>
              </w:rPr>
            </w:pPr>
            <w:r>
              <w:rPr>
                <w:color w:val="000000"/>
                <w:kern w:val="0"/>
                <w:sz w:val="22"/>
                <w:szCs w:val="22"/>
              </w:rPr>
              <w:t>2.</w:t>
            </w:r>
            <w:r>
              <w:rPr>
                <w:rFonts w:hint="eastAsia" w:ascii="宋体" w:hAnsi="宋体"/>
                <w:color w:val="000000"/>
                <w:kern w:val="0"/>
                <w:sz w:val="22"/>
                <w:szCs w:val="22"/>
              </w:rPr>
              <w:t>无相关工作经验的人员上岗前未进行培训的，每发现一人扣</w:t>
            </w:r>
            <w:r>
              <w:rPr>
                <w:color w:val="000000"/>
                <w:kern w:val="0"/>
                <w:sz w:val="22"/>
                <w:szCs w:val="22"/>
              </w:rPr>
              <w:t>0.2</w:t>
            </w:r>
            <w:r>
              <w:rPr>
                <w:rFonts w:hint="eastAsia" w:ascii="宋体" w:hAnsi="宋体"/>
                <w:color w:val="000000"/>
                <w:kern w:val="0"/>
                <w:sz w:val="22"/>
                <w:szCs w:val="22"/>
              </w:rPr>
              <w:t>分，最高扣</w:t>
            </w:r>
            <w:r>
              <w:rPr>
                <w:color w:val="000000"/>
                <w:kern w:val="0"/>
                <w:sz w:val="22"/>
                <w:szCs w:val="22"/>
              </w:rPr>
              <w:t>0.8</w:t>
            </w:r>
            <w:r>
              <w:rPr>
                <w:rFonts w:hint="eastAsia" w:ascii="宋体" w:hAnsi="宋体"/>
                <w:color w:val="000000"/>
                <w:kern w:val="0"/>
                <w:sz w:val="22"/>
                <w:szCs w:val="22"/>
              </w:rPr>
              <w:t>分。</w:t>
            </w:r>
          </w:p>
        </w:tc>
      </w:tr>
      <w:tr w14:paraId="7C214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704" w:type="dxa"/>
            <w:shd w:val="clear" w:color="auto" w:fill="auto"/>
            <w:noWrap/>
            <w:vAlign w:val="center"/>
          </w:tcPr>
          <w:p w14:paraId="7BBC4F67">
            <w:pPr>
              <w:widowControl/>
              <w:jc w:val="center"/>
              <w:rPr>
                <w:color w:val="000000"/>
                <w:kern w:val="0"/>
                <w:sz w:val="22"/>
                <w:szCs w:val="22"/>
              </w:rPr>
            </w:pPr>
            <w:r>
              <w:rPr>
                <w:color w:val="000000"/>
                <w:kern w:val="0"/>
                <w:sz w:val="22"/>
                <w:szCs w:val="22"/>
              </w:rPr>
              <w:t>25</w:t>
            </w:r>
          </w:p>
        </w:tc>
        <w:tc>
          <w:tcPr>
            <w:tcW w:w="1139" w:type="dxa"/>
            <w:vMerge w:val="continue"/>
            <w:vAlign w:val="center"/>
          </w:tcPr>
          <w:p w14:paraId="023F1CDB">
            <w:pPr>
              <w:widowControl/>
              <w:jc w:val="left"/>
              <w:rPr>
                <w:color w:val="000000"/>
                <w:kern w:val="0"/>
                <w:sz w:val="22"/>
                <w:szCs w:val="22"/>
              </w:rPr>
            </w:pPr>
          </w:p>
        </w:tc>
        <w:tc>
          <w:tcPr>
            <w:tcW w:w="1335" w:type="dxa"/>
            <w:vMerge w:val="restart"/>
            <w:shd w:val="clear" w:color="auto" w:fill="auto"/>
            <w:noWrap/>
            <w:vAlign w:val="center"/>
          </w:tcPr>
          <w:p w14:paraId="4A42A98B">
            <w:pPr>
              <w:widowControl/>
              <w:jc w:val="center"/>
              <w:rPr>
                <w:rFonts w:ascii="宋体" w:hAnsi="宋体"/>
                <w:color w:val="000000"/>
                <w:kern w:val="0"/>
                <w:sz w:val="22"/>
                <w:szCs w:val="22"/>
              </w:rPr>
            </w:pPr>
            <w:r>
              <w:rPr>
                <w:rFonts w:hint="eastAsia" w:ascii="宋体" w:hAnsi="宋体"/>
                <w:color w:val="000000"/>
                <w:kern w:val="0"/>
                <w:sz w:val="22"/>
                <w:szCs w:val="22"/>
              </w:rPr>
              <w:t>档案管理</w:t>
            </w:r>
          </w:p>
          <w:p w14:paraId="7A6F04E0">
            <w:pPr>
              <w:widowControl/>
              <w:jc w:val="center"/>
              <w:rPr>
                <w:color w:val="000000"/>
                <w:kern w:val="0"/>
                <w:sz w:val="22"/>
                <w:szCs w:val="22"/>
              </w:rPr>
            </w:pPr>
            <w:r>
              <w:rPr>
                <w:rFonts w:hint="eastAsia" w:ascii="宋体" w:hAnsi="宋体"/>
                <w:color w:val="000000"/>
                <w:kern w:val="0"/>
                <w:sz w:val="22"/>
                <w:szCs w:val="22"/>
              </w:rPr>
              <w:t>（</w:t>
            </w:r>
            <w:r>
              <w:rPr>
                <w:rFonts w:ascii="宋体" w:hAnsi="宋体"/>
                <w:color w:val="000000"/>
                <w:kern w:val="0"/>
                <w:sz w:val="22"/>
                <w:szCs w:val="22"/>
              </w:rPr>
              <w:t>4</w:t>
            </w:r>
            <w:r>
              <w:rPr>
                <w:rFonts w:hint="eastAsia" w:ascii="宋体" w:hAnsi="宋体"/>
                <w:color w:val="000000"/>
                <w:kern w:val="0"/>
                <w:sz w:val="22"/>
                <w:szCs w:val="22"/>
              </w:rPr>
              <w:t>分）</w:t>
            </w:r>
          </w:p>
        </w:tc>
        <w:tc>
          <w:tcPr>
            <w:tcW w:w="1560" w:type="dxa"/>
            <w:shd w:val="clear" w:color="auto" w:fill="auto"/>
            <w:vAlign w:val="center"/>
          </w:tcPr>
          <w:p w14:paraId="101AEBE1">
            <w:pPr>
              <w:widowControl/>
              <w:jc w:val="left"/>
              <w:rPr>
                <w:rFonts w:ascii="宋体" w:hAnsi="宋体"/>
                <w:color w:val="000000"/>
                <w:kern w:val="0"/>
                <w:sz w:val="22"/>
                <w:szCs w:val="22"/>
              </w:rPr>
            </w:pPr>
            <w:r>
              <w:rPr>
                <w:rFonts w:hint="eastAsia" w:ascii="宋体" w:hAnsi="宋体"/>
                <w:color w:val="000000"/>
                <w:kern w:val="0"/>
                <w:sz w:val="22"/>
                <w:szCs w:val="22"/>
              </w:rPr>
              <w:t>有档案库房，工程主要技术档案和运行管理资料齐全</w:t>
            </w:r>
          </w:p>
        </w:tc>
        <w:tc>
          <w:tcPr>
            <w:tcW w:w="708" w:type="dxa"/>
            <w:shd w:val="clear" w:color="auto" w:fill="auto"/>
            <w:noWrap/>
            <w:vAlign w:val="center"/>
          </w:tcPr>
          <w:p w14:paraId="73D7DCCB">
            <w:pPr>
              <w:widowControl/>
              <w:jc w:val="center"/>
              <w:rPr>
                <w:color w:val="000000"/>
                <w:kern w:val="0"/>
                <w:sz w:val="22"/>
                <w:szCs w:val="22"/>
              </w:rPr>
            </w:pPr>
            <w:r>
              <w:rPr>
                <w:color w:val="000000"/>
                <w:kern w:val="0"/>
                <w:sz w:val="22"/>
                <w:szCs w:val="22"/>
              </w:rPr>
              <w:t>2</w:t>
            </w:r>
          </w:p>
        </w:tc>
        <w:tc>
          <w:tcPr>
            <w:tcW w:w="1358" w:type="dxa"/>
            <w:shd w:val="clear" w:color="auto" w:fill="auto"/>
            <w:vAlign w:val="center"/>
          </w:tcPr>
          <w:p w14:paraId="3B3E5195">
            <w:pPr>
              <w:widowControl/>
              <w:jc w:val="center"/>
              <w:rPr>
                <w:rFonts w:ascii="宋体" w:hAnsi="宋体"/>
                <w:color w:val="000000"/>
                <w:kern w:val="0"/>
                <w:sz w:val="22"/>
                <w:szCs w:val="22"/>
              </w:rPr>
            </w:pPr>
            <w:r>
              <w:rPr>
                <w:rFonts w:hint="eastAsia" w:ascii="宋体" w:hAnsi="宋体"/>
                <w:color w:val="000000"/>
                <w:kern w:val="0"/>
                <w:sz w:val="22"/>
                <w:szCs w:val="22"/>
              </w:rPr>
              <w:t>案卷研究</w:t>
            </w:r>
          </w:p>
          <w:p w14:paraId="60CC8217">
            <w:pPr>
              <w:widowControl/>
              <w:jc w:val="center"/>
              <w:rPr>
                <w:rFonts w:ascii="宋体" w:hAnsi="宋体"/>
                <w:color w:val="000000"/>
                <w:kern w:val="0"/>
                <w:sz w:val="22"/>
                <w:szCs w:val="22"/>
              </w:rPr>
            </w:pPr>
            <w:r>
              <w:rPr>
                <w:rFonts w:hint="eastAsia" w:ascii="宋体" w:hAnsi="宋体"/>
                <w:color w:val="000000"/>
                <w:kern w:val="0"/>
                <w:sz w:val="22"/>
                <w:szCs w:val="22"/>
              </w:rPr>
              <w:t>实地调研</w:t>
            </w:r>
          </w:p>
        </w:tc>
        <w:tc>
          <w:tcPr>
            <w:tcW w:w="7453" w:type="dxa"/>
            <w:shd w:val="clear" w:color="auto" w:fill="auto"/>
            <w:vAlign w:val="center"/>
          </w:tcPr>
          <w:p w14:paraId="20A798B4">
            <w:pPr>
              <w:widowControl/>
              <w:jc w:val="left"/>
              <w:rPr>
                <w:color w:val="000000"/>
                <w:kern w:val="0"/>
                <w:sz w:val="22"/>
                <w:szCs w:val="22"/>
              </w:rPr>
            </w:pPr>
            <w:r>
              <w:rPr>
                <w:color w:val="000000"/>
                <w:kern w:val="0"/>
                <w:sz w:val="22"/>
                <w:szCs w:val="22"/>
              </w:rPr>
              <w:t>1.</w:t>
            </w:r>
            <w:r>
              <w:rPr>
                <w:rFonts w:hint="eastAsia"/>
                <w:color w:val="000000"/>
                <w:kern w:val="0"/>
                <w:sz w:val="22"/>
                <w:szCs w:val="22"/>
              </w:rPr>
              <w:t>未设档案库房或档案分散混乱的，扣</w:t>
            </w:r>
            <w:r>
              <w:rPr>
                <w:color w:val="000000"/>
                <w:kern w:val="0"/>
                <w:sz w:val="22"/>
                <w:szCs w:val="22"/>
              </w:rPr>
              <w:t>1</w:t>
            </w:r>
            <w:r>
              <w:rPr>
                <w:rFonts w:hint="eastAsia"/>
                <w:color w:val="000000"/>
                <w:kern w:val="0"/>
                <w:sz w:val="22"/>
                <w:szCs w:val="22"/>
              </w:rPr>
              <w:t>分。</w:t>
            </w:r>
          </w:p>
          <w:p w14:paraId="5899FDE4">
            <w:pPr>
              <w:widowControl/>
              <w:jc w:val="left"/>
              <w:rPr>
                <w:color w:val="000000"/>
                <w:kern w:val="0"/>
                <w:sz w:val="22"/>
                <w:szCs w:val="22"/>
              </w:rPr>
            </w:pPr>
            <w:r>
              <w:rPr>
                <w:color w:val="000000"/>
                <w:kern w:val="0"/>
                <w:sz w:val="22"/>
                <w:szCs w:val="22"/>
              </w:rPr>
              <w:t>2.建设管理资料归档不齐全的，每发现一件扣0.1分，最多扣0.5分。</w:t>
            </w:r>
          </w:p>
          <w:p w14:paraId="26ADFF21">
            <w:pPr>
              <w:widowControl/>
              <w:jc w:val="left"/>
              <w:rPr>
                <w:rFonts w:ascii="宋体" w:hAnsi="宋体"/>
                <w:color w:val="000000"/>
                <w:kern w:val="0"/>
                <w:sz w:val="22"/>
                <w:szCs w:val="22"/>
              </w:rPr>
            </w:pPr>
            <w:r>
              <w:rPr>
                <w:color w:val="000000"/>
                <w:kern w:val="0"/>
                <w:sz w:val="22"/>
                <w:szCs w:val="22"/>
              </w:rPr>
              <w:t>3.</w:t>
            </w:r>
            <w:r>
              <w:rPr>
                <w:rFonts w:hint="eastAsia"/>
                <w:color w:val="000000"/>
                <w:kern w:val="0"/>
                <w:sz w:val="22"/>
                <w:szCs w:val="22"/>
              </w:rPr>
              <w:t>运营管理资料归档不齐全的，每发现一件扣</w:t>
            </w:r>
            <w:r>
              <w:rPr>
                <w:color w:val="000000"/>
                <w:kern w:val="0"/>
                <w:sz w:val="22"/>
                <w:szCs w:val="22"/>
              </w:rPr>
              <w:t>0.1</w:t>
            </w:r>
            <w:r>
              <w:rPr>
                <w:rFonts w:hint="eastAsia"/>
                <w:color w:val="000000"/>
                <w:kern w:val="0"/>
                <w:sz w:val="22"/>
                <w:szCs w:val="22"/>
              </w:rPr>
              <w:t>分，最多扣</w:t>
            </w:r>
            <w:r>
              <w:rPr>
                <w:color w:val="000000"/>
                <w:kern w:val="0"/>
                <w:sz w:val="22"/>
                <w:szCs w:val="22"/>
              </w:rPr>
              <w:t>0.5</w:t>
            </w:r>
            <w:r>
              <w:rPr>
                <w:rFonts w:hint="eastAsia"/>
                <w:color w:val="000000"/>
                <w:kern w:val="0"/>
                <w:sz w:val="22"/>
                <w:szCs w:val="22"/>
              </w:rPr>
              <w:t>分。</w:t>
            </w:r>
          </w:p>
        </w:tc>
      </w:tr>
      <w:tr w14:paraId="78F88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04" w:type="dxa"/>
            <w:shd w:val="clear" w:color="auto" w:fill="auto"/>
            <w:noWrap/>
            <w:vAlign w:val="center"/>
          </w:tcPr>
          <w:p w14:paraId="2486C7A9">
            <w:pPr>
              <w:widowControl/>
              <w:jc w:val="center"/>
              <w:rPr>
                <w:color w:val="000000"/>
                <w:kern w:val="0"/>
                <w:sz w:val="22"/>
                <w:szCs w:val="22"/>
              </w:rPr>
            </w:pPr>
            <w:r>
              <w:rPr>
                <w:color w:val="000000"/>
                <w:kern w:val="0"/>
                <w:sz w:val="22"/>
                <w:szCs w:val="22"/>
              </w:rPr>
              <w:t>26</w:t>
            </w:r>
          </w:p>
        </w:tc>
        <w:tc>
          <w:tcPr>
            <w:tcW w:w="1139" w:type="dxa"/>
            <w:vMerge w:val="continue"/>
            <w:vAlign w:val="center"/>
          </w:tcPr>
          <w:p w14:paraId="61A67755">
            <w:pPr>
              <w:widowControl/>
              <w:jc w:val="left"/>
              <w:rPr>
                <w:color w:val="000000"/>
                <w:kern w:val="0"/>
                <w:sz w:val="22"/>
                <w:szCs w:val="22"/>
              </w:rPr>
            </w:pPr>
          </w:p>
        </w:tc>
        <w:tc>
          <w:tcPr>
            <w:tcW w:w="1335" w:type="dxa"/>
            <w:vMerge w:val="continue"/>
            <w:vAlign w:val="center"/>
          </w:tcPr>
          <w:p w14:paraId="4A3CE905">
            <w:pPr>
              <w:widowControl/>
              <w:jc w:val="left"/>
              <w:rPr>
                <w:color w:val="000000"/>
                <w:kern w:val="0"/>
                <w:sz w:val="22"/>
                <w:szCs w:val="22"/>
              </w:rPr>
            </w:pPr>
          </w:p>
        </w:tc>
        <w:tc>
          <w:tcPr>
            <w:tcW w:w="1560" w:type="dxa"/>
            <w:shd w:val="clear" w:color="auto" w:fill="auto"/>
            <w:vAlign w:val="center"/>
          </w:tcPr>
          <w:p w14:paraId="1DC4494C">
            <w:pPr>
              <w:widowControl/>
              <w:jc w:val="left"/>
              <w:rPr>
                <w:color w:val="000000"/>
                <w:kern w:val="0"/>
                <w:sz w:val="22"/>
                <w:szCs w:val="22"/>
              </w:rPr>
            </w:pPr>
            <w:r>
              <w:rPr>
                <w:rFonts w:hint="eastAsia" w:ascii="宋体" w:hAnsi="宋体"/>
                <w:color w:val="000000"/>
                <w:kern w:val="0"/>
                <w:sz w:val="22"/>
                <w:szCs w:val="22"/>
              </w:rPr>
              <w:t>日常巡查及记录</w:t>
            </w:r>
          </w:p>
        </w:tc>
        <w:tc>
          <w:tcPr>
            <w:tcW w:w="708" w:type="dxa"/>
            <w:shd w:val="clear" w:color="auto" w:fill="auto"/>
            <w:noWrap/>
            <w:vAlign w:val="center"/>
          </w:tcPr>
          <w:p w14:paraId="0E3CB258">
            <w:pPr>
              <w:widowControl/>
              <w:jc w:val="center"/>
              <w:rPr>
                <w:color w:val="000000"/>
                <w:kern w:val="0"/>
                <w:sz w:val="22"/>
                <w:szCs w:val="22"/>
              </w:rPr>
            </w:pPr>
            <w:r>
              <w:rPr>
                <w:color w:val="000000"/>
                <w:kern w:val="0"/>
                <w:sz w:val="22"/>
                <w:szCs w:val="22"/>
              </w:rPr>
              <w:t>2</w:t>
            </w:r>
          </w:p>
        </w:tc>
        <w:tc>
          <w:tcPr>
            <w:tcW w:w="1358" w:type="dxa"/>
            <w:shd w:val="clear" w:color="auto" w:fill="auto"/>
            <w:vAlign w:val="center"/>
          </w:tcPr>
          <w:p w14:paraId="49928341">
            <w:pPr>
              <w:widowControl/>
              <w:jc w:val="center"/>
              <w:rPr>
                <w:color w:val="000000"/>
                <w:kern w:val="0"/>
                <w:sz w:val="22"/>
                <w:szCs w:val="22"/>
              </w:rPr>
            </w:pPr>
            <w:r>
              <w:rPr>
                <w:rFonts w:hint="eastAsia" w:ascii="宋体" w:hAnsi="宋体"/>
                <w:color w:val="000000"/>
                <w:kern w:val="0"/>
                <w:sz w:val="22"/>
                <w:szCs w:val="22"/>
              </w:rPr>
              <w:t>案卷研究</w:t>
            </w:r>
          </w:p>
        </w:tc>
        <w:tc>
          <w:tcPr>
            <w:tcW w:w="7453" w:type="dxa"/>
            <w:shd w:val="clear" w:color="auto" w:fill="auto"/>
            <w:vAlign w:val="center"/>
          </w:tcPr>
          <w:p w14:paraId="14C231AD">
            <w:pPr>
              <w:widowControl/>
              <w:jc w:val="left"/>
              <w:rPr>
                <w:color w:val="000000"/>
                <w:kern w:val="0"/>
                <w:sz w:val="22"/>
                <w:szCs w:val="22"/>
              </w:rPr>
            </w:pPr>
            <w:r>
              <w:rPr>
                <w:rFonts w:hint="eastAsia" w:ascii="宋体" w:hAnsi="宋体"/>
                <w:color w:val="000000"/>
                <w:kern w:val="0"/>
                <w:sz w:val="22"/>
                <w:szCs w:val="22"/>
              </w:rPr>
              <w:t>未按要求开展日常巡查或未形成完整巡查记录的，或检查记录不真实的，每次</w:t>
            </w:r>
            <w:r>
              <w:rPr>
                <w:color w:val="000000"/>
                <w:kern w:val="0"/>
                <w:sz w:val="22"/>
                <w:szCs w:val="22"/>
              </w:rPr>
              <w:t>/</w:t>
            </w:r>
            <w:r>
              <w:rPr>
                <w:rFonts w:hint="eastAsia" w:ascii="宋体" w:hAnsi="宋体"/>
                <w:color w:val="000000"/>
                <w:kern w:val="0"/>
                <w:sz w:val="22"/>
                <w:szCs w:val="22"/>
              </w:rPr>
              <w:t>项扣</w:t>
            </w:r>
            <w:r>
              <w:rPr>
                <w:color w:val="000000"/>
                <w:kern w:val="0"/>
                <w:sz w:val="22"/>
                <w:szCs w:val="22"/>
              </w:rPr>
              <w:t>0.1</w:t>
            </w:r>
            <w:r>
              <w:rPr>
                <w:rFonts w:hint="eastAsia" w:ascii="宋体" w:hAnsi="宋体"/>
                <w:color w:val="000000"/>
                <w:kern w:val="0"/>
                <w:sz w:val="22"/>
                <w:szCs w:val="22"/>
              </w:rPr>
              <w:t>分；最多扣</w:t>
            </w:r>
            <w:r>
              <w:rPr>
                <w:color w:val="000000"/>
                <w:kern w:val="0"/>
                <w:sz w:val="22"/>
                <w:szCs w:val="22"/>
              </w:rPr>
              <w:t>2</w:t>
            </w:r>
            <w:r>
              <w:rPr>
                <w:rFonts w:hint="eastAsia" w:ascii="宋体" w:hAnsi="宋体"/>
                <w:color w:val="000000"/>
                <w:kern w:val="0"/>
                <w:sz w:val="22"/>
                <w:szCs w:val="22"/>
              </w:rPr>
              <w:t>分。</w:t>
            </w:r>
          </w:p>
        </w:tc>
      </w:tr>
      <w:tr w14:paraId="43F52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04" w:type="dxa"/>
            <w:shd w:val="clear" w:color="auto" w:fill="auto"/>
            <w:noWrap/>
            <w:vAlign w:val="center"/>
          </w:tcPr>
          <w:p w14:paraId="70F6733F">
            <w:pPr>
              <w:widowControl/>
              <w:jc w:val="center"/>
              <w:rPr>
                <w:color w:val="000000"/>
                <w:kern w:val="0"/>
                <w:sz w:val="22"/>
                <w:szCs w:val="22"/>
              </w:rPr>
            </w:pPr>
            <w:r>
              <w:rPr>
                <w:color w:val="000000"/>
                <w:kern w:val="0"/>
                <w:sz w:val="22"/>
                <w:szCs w:val="22"/>
              </w:rPr>
              <w:t>27</w:t>
            </w:r>
          </w:p>
        </w:tc>
        <w:tc>
          <w:tcPr>
            <w:tcW w:w="1139" w:type="dxa"/>
            <w:vMerge w:val="continue"/>
            <w:vAlign w:val="center"/>
          </w:tcPr>
          <w:p w14:paraId="39B03C96">
            <w:pPr>
              <w:widowControl/>
              <w:jc w:val="left"/>
              <w:rPr>
                <w:color w:val="000000"/>
                <w:kern w:val="0"/>
                <w:sz w:val="22"/>
                <w:szCs w:val="22"/>
              </w:rPr>
            </w:pPr>
          </w:p>
        </w:tc>
        <w:tc>
          <w:tcPr>
            <w:tcW w:w="1335" w:type="dxa"/>
            <w:shd w:val="clear" w:color="auto" w:fill="auto"/>
            <w:noWrap/>
            <w:vAlign w:val="center"/>
          </w:tcPr>
          <w:p w14:paraId="39111458">
            <w:pPr>
              <w:widowControl/>
              <w:jc w:val="center"/>
              <w:rPr>
                <w:rFonts w:ascii="宋体" w:hAnsi="宋体"/>
                <w:color w:val="000000"/>
                <w:kern w:val="0"/>
                <w:sz w:val="22"/>
                <w:szCs w:val="22"/>
              </w:rPr>
            </w:pPr>
            <w:r>
              <w:rPr>
                <w:rFonts w:hint="eastAsia" w:ascii="宋体" w:hAnsi="宋体"/>
                <w:color w:val="000000"/>
                <w:kern w:val="0"/>
                <w:sz w:val="22"/>
                <w:szCs w:val="22"/>
              </w:rPr>
              <w:t>运维管理</w:t>
            </w:r>
          </w:p>
          <w:p w14:paraId="5F46433E">
            <w:pPr>
              <w:widowControl/>
              <w:jc w:val="center"/>
              <w:rPr>
                <w:color w:val="000000"/>
                <w:kern w:val="0"/>
                <w:sz w:val="22"/>
                <w:szCs w:val="22"/>
              </w:rPr>
            </w:pPr>
            <w:r>
              <w:rPr>
                <w:rFonts w:hint="eastAsia" w:ascii="宋体" w:hAnsi="宋体"/>
                <w:color w:val="000000"/>
                <w:kern w:val="0"/>
                <w:sz w:val="22"/>
                <w:szCs w:val="22"/>
              </w:rPr>
              <w:t>（</w:t>
            </w:r>
            <w:r>
              <w:rPr>
                <w:rFonts w:ascii="宋体" w:hAnsi="宋体"/>
                <w:color w:val="000000"/>
                <w:kern w:val="0"/>
                <w:sz w:val="22"/>
                <w:szCs w:val="22"/>
              </w:rPr>
              <w:t>2</w:t>
            </w:r>
            <w:r>
              <w:rPr>
                <w:rFonts w:hint="eastAsia" w:ascii="宋体" w:hAnsi="宋体"/>
                <w:color w:val="000000"/>
                <w:kern w:val="0"/>
                <w:sz w:val="22"/>
                <w:szCs w:val="22"/>
              </w:rPr>
              <w:t>分）</w:t>
            </w:r>
          </w:p>
        </w:tc>
        <w:tc>
          <w:tcPr>
            <w:tcW w:w="1560" w:type="dxa"/>
            <w:shd w:val="clear" w:color="auto" w:fill="auto"/>
            <w:vAlign w:val="center"/>
          </w:tcPr>
          <w:p w14:paraId="258E821C">
            <w:pPr>
              <w:widowControl/>
              <w:jc w:val="left"/>
              <w:rPr>
                <w:color w:val="000000"/>
                <w:kern w:val="0"/>
                <w:sz w:val="22"/>
                <w:szCs w:val="22"/>
              </w:rPr>
            </w:pPr>
            <w:r>
              <w:rPr>
                <w:rFonts w:hint="eastAsia" w:ascii="宋体" w:hAnsi="宋体"/>
                <w:color w:val="000000"/>
                <w:kern w:val="0"/>
                <w:sz w:val="22"/>
                <w:szCs w:val="22"/>
              </w:rPr>
              <w:t>运维项目管理规范</w:t>
            </w:r>
          </w:p>
        </w:tc>
        <w:tc>
          <w:tcPr>
            <w:tcW w:w="708" w:type="dxa"/>
            <w:shd w:val="clear" w:color="auto" w:fill="auto"/>
            <w:noWrap/>
            <w:vAlign w:val="center"/>
          </w:tcPr>
          <w:p w14:paraId="672224D1">
            <w:pPr>
              <w:widowControl/>
              <w:spacing w:line="600" w:lineRule="exact"/>
              <w:ind w:firstLine="200"/>
              <w:rPr>
                <w:color w:val="000000"/>
                <w:kern w:val="0"/>
                <w:sz w:val="22"/>
                <w:szCs w:val="22"/>
              </w:rPr>
            </w:pPr>
            <w:r>
              <w:rPr>
                <w:color w:val="000000"/>
                <w:kern w:val="0"/>
                <w:sz w:val="22"/>
                <w:szCs w:val="22"/>
              </w:rPr>
              <w:t>2</w:t>
            </w:r>
          </w:p>
        </w:tc>
        <w:tc>
          <w:tcPr>
            <w:tcW w:w="1358" w:type="dxa"/>
            <w:shd w:val="clear" w:color="auto" w:fill="auto"/>
            <w:vAlign w:val="center"/>
          </w:tcPr>
          <w:p w14:paraId="23EB4C0E">
            <w:pPr>
              <w:widowControl/>
              <w:jc w:val="center"/>
              <w:rPr>
                <w:rFonts w:ascii="宋体" w:hAnsi="宋体" w:cs="宋体"/>
                <w:color w:val="000000"/>
                <w:kern w:val="0"/>
                <w:sz w:val="22"/>
                <w:szCs w:val="22"/>
              </w:rPr>
            </w:pPr>
            <w:r>
              <w:rPr>
                <w:rFonts w:hint="eastAsia" w:ascii="宋体" w:hAnsi="宋体"/>
                <w:color w:val="000000"/>
                <w:kern w:val="0"/>
                <w:sz w:val="22"/>
                <w:szCs w:val="22"/>
              </w:rPr>
              <w:t>案卷研究</w:t>
            </w:r>
          </w:p>
        </w:tc>
        <w:tc>
          <w:tcPr>
            <w:tcW w:w="7453" w:type="dxa"/>
            <w:shd w:val="clear" w:color="auto" w:fill="auto"/>
            <w:vAlign w:val="center"/>
          </w:tcPr>
          <w:p w14:paraId="14D17EAB">
            <w:pPr>
              <w:widowControl/>
              <w:jc w:val="left"/>
              <w:rPr>
                <w:color w:val="000000"/>
                <w:kern w:val="0"/>
                <w:sz w:val="22"/>
                <w:szCs w:val="22"/>
              </w:rPr>
            </w:pPr>
            <w:r>
              <w:rPr>
                <w:color w:val="000000"/>
                <w:kern w:val="0"/>
                <w:sz w:val="22"/>
                <w:szCs w:val="22"/>
              </w:rPr>
              <w:t>管理运维的台账要收集保存齐全。运维项目管理按规定执行，管理资金使用规范，对未达到要求的每次扣0.1分；最 多扣2分。</w:t>
            </w:r>
          </w:p>
        </w:tc>
      </w:tr>
      <w:tr w14:paraId="1313D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4" w:type="dxa"/>
            <w:shd w:val="clear" w:color="auto" w:fill="auto"/>
            <w:noWrap/>
            <w:vAlign w:val="center"/>
          </w:tcPr>
          <w:p w14:paraId="2F05FBAF">
            <w:pPr>
              <w:widowControl/>
              <w:jc w:val="center"/>
              <w:rPr>
                <w:b/>
                <w:bCs/>
                <w:color w:val="000000"/>
                <w:kern w:val="0"/>
                <w:sz w:val="22"/>
                <w:szCs w:val="22"/>
              </w:rPr>
            </w:pPr>
            <w:r>
              <w:rPr>
                <w:b/>
                <w:bCs/>
                <w:color w:val="000000"/>
                <w:kern w:val="0"/>
                <w:sz w:val="22"/>
                <w:szCs w:val="22"/>
              </w:rPr>
              <w:t>　</w:t>
            </w:r>
          </w:p>
        </w:tc>
        <w:tc>
          <w:tcPr>
            <w:tcW w:w="2474" w:type="dxa"/>
            <w:gridSpan w:val="2"/>
            <w:shd w:val="clear" w:color="auto" w:fill="auto"/>
            <w:noWrap/>
            <w:vAlign w:val="center"/>
          </w:tcPr>
          <w:p w14:paraId="1395323B">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560" w:type="dxa"/>
            <w:shd w:val="clear" w:color="auto" w:fill="auto"/>
            <w:vAlign w:val="center"/>
          </w:tcPr>
          <w:p w14:paraId="5DB4CA1D">
            <w:pPr>
              <w:widowControl/>
              <w:jc w:val="left"/>
              <w:rPr>
                <w:b/>
                <w:bCs/>
                <w:color w:val="000000"/>
                <w:kern w:val="0"/>
                <w:sz w:val="22"/>
                <w:szCs w:val="22"/>
              </w:rPr>
            </w:pPr>
            <w:r>
              <w:rPr>
                <w:b/>
                <w:bCs/>
                <w:color w:val="000000"/>
                <w:kern w:val="0"/>
                <w:sz w:val="22"/>
                <w:szCs w:val="22"/>
              </w:rPr>
              <w:t>　</w:t>
            </w:r>
          </w:p>
        </w:tc>
        <w:tc>
          <w:tcPr>
            <w:tcW w:w="708" w:type="dxa"/>
            <w:shd w:val="clear" w:color="auto" w:fill="auto"/>
            <w:noWrap/>
            <w:vAlign w:val="center"/>
          </w:tcPr>
          <w:p w14:paraId="7BBA9BB7">
            <w:pPr>
              <w:widowControl/>
              <w:jc w:val="center"/>
              <w:rPr>
                <w:b/>
                <w:bCs/>
                <w:color w:val="000000"/>
                <w:kern w:val="0"/>
                <w:sz w:val="22"/>
                <w:szCs w:val="22"/>
              </w:rPr>
            </w:pPr>
            <w:r>
              <w:rPr>
                <w:b/>
                <w:bCs/>
                <w:color w:val="000000"/>
                <w:kern w:val="0"/>
                <w:sz w:val="22"/>
                <w:szCs w:val="22"/>
              </w:rPr>
              <w:t>100</w:t>
            </w:r>
          </w:p>
        </w:tc>
        <w:tc>
          <w:tcPr>
            <w:tcW w:w="1358" w:type="dxa"/>
            <w:shd w:val="clear" w:color="auto" w:fill="auto"/>
            <w:noWrap/>
            <w:vAlign w:val="center"/>
          </w:tcPr>
          <w:p w14:paraId="40F4ABE0">
            <w:pPr>
              <w:widowControl/>
              <w:jc w:val="center"/>
              <w:rPr>
                <w:b/>
                <w:bCs/>
                <w:color w:val="000000"/>
                <w:kern w:val="0"/>
                <w:sz w:val="22"/>
                <w:szCs w:val="22"/>
              </w:rPr>
            </w:pPr>
            <w:r>
              <w:rPr>
                <w:b/>
                <w:bCs/>
                <w:color w:val="000000"/>
                <w:kern w:val="0"/>
                <w:sz w:val="22"/>
                <w:szCs w:val="22"/>
              </w:rPr>
              <w:t>　</w:t>
            </w:r>
          </w:p>
        </w:tc>
        <w:tc>
          <w:tcPr>
            <w:tcW w:w="7453" w:type="dxa"/>
            <w:shd w:val="clear" w:color="auto" w:fill="auto"/>
            <w:noWrap/>
            <w:vAlign w:val="center"/>
          </w:tcPr>
          <w:p w14:paraId="0572758A">
            <w:pPr>
              <w:widowControl/>
              <w:jc w:val="center"/>
              <w:rPr>
                <w:b/>
                <w:bCs/>
                <w:color w:val="000000"/>
                <w:kern w:val="0"/>
                <w:sz w:val="22"/>
                <w:szCs w:val="22"/>
              </w:rPr>
            </w:pPr>
            <w:r>
              <w:rPr>
                <w:b/>
                <w:bCs/>
                <w:color w:val="000000"/>
                <w:kern w:val="0"/>
                <w:sz w:val="22"/>
                <w:szCs w:val="22"/>
              </w:rPr>
              <w:t>　</w:t>
            </w:r>
          </w:p>
        </w:tc>
      </w:tr>
      <w:tr w14:paraId="60082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4257" w:type="dxa"/>
            <w:gridSpan w:val="7"/>
            <w:shd w:val="clear" w:color="auto" w:fill="auto"/>
            <w:noWrap/>
            <w:vAlign w:val="center"/>
          </w:tcPr>
          <w:p w14:paraId="7AEC833B">
            <w:pPr>
              <w:widowControl/>
              <w:spacing w:line="600" w:lineRule="exact"/>
              <w:rPr>
                <w:bCs/>
                <w:color w:val="000000"/>
                <w:kern w:val="0"/>
                <w:sz w:val="22"/>
                <w:szCs w:val="22"/>
              </w:rPr>
            </w:pPr>
            <w:r>
              <w:rPr>
                <w:rFonts w:hint="eastAsia"/>
                <w:bCs/>
                <w:color w:val="000000"/>
                <w:kern w:val="0"/>
                <w:sz w:val="22"/>
                <w:szCs w:val="22"/>
              </w:rPr>
              <w:t>注：</w:t>
            </w:r>
            <w:r>
              <w:rPr>
                <w:bCs/>
                <w:color w:val="000000"/>
                <w:kern w:val="0"/>
                <w:sz w:val="22"/>
                <w:szCs w:val="22"/>
              </w:rPr>
              <w:t>1</w:t>
            </w:r>
            <w:r>
              <w:rPr>
                <w:rFonts w:hint="eastAsia"/>
                <w:bCs/>
                <w:color w:val="000000"/>
                <w:kern w:val="0"/>
                <w:sz w:val="22"/>
                <w:szCs w:val="22"/>
              </w:rPr>
              <w:t>、</w:t>
            </w:r>
            <w:r>
              <w:rPr>
                <w:bCs/>
                <w:color w:val="000000"/>
                <w:kern w:val="0"/>
                <w:sz w:val="22"/>
                <w:szCs w:val="22"/>
              </w:rPr>
              <w:t>1-18</w:t>
            </w:r>
            <w:r>
              <w:rPr>
                <w:rFonts w:hint="eastAsia"/>
                <w:bCs/>
                <w:color w:val="000000"/>
                <w:kern w:val="0"/>
                <w:sz w:val="22"/>
                <w:szCs w:val="22"/>
              </w:rPr>
              <w:t>项每个指标项对应抽检的湖漾、河道分别评分，并以算术平均值最终赋分，算术平均值四舍五入保留至两位小数；</w:t>
            </w:r>
          </w:p>
          <w:p w14:paraId="5E736EB6">
            <w:pPr>
              <w:widowControl/>
              <w:ind w:firstLine="429" w:firstLineChars="195"/>
              <w:rPr>
                <w:bCs/>
                <w:color w:val="000000"/>
                <w:kern w:val="0"/>
                <w:sz w:val="22"/>
                <w:szCs w:val="22"/>
              </w:rPr>
            </w:pPr>
            <w:r>
              <w:rPr>
                <w:bCs/>
                <w:color w:val="000000"/>
                <w:kern w:val="0"/>
                <w:sz w:val="22"/>
                <w:szCs w:val="22"/>
              </w:rPr>
              <w:t>2</w:t>
            </w:r>
            <w:r>
              <w:rPr>
                <w:rFonts w:hint="eastAsia"/>
                <w:bCs/>
                <w:color w:val="000000"/>
                <w:kern w:val="0"/>
                <w:sz w:val="22"/>
                <w:szCs w:val="22"/>
              </w:rPr>
              <w:t>、</w:t>
            </w:r>
            <w:r>
              <w:rPr>
                <w:bCs/>
                <w:color w:val="000000"/>
                <w:kern w:val="0"/>
                <w:sz w:val="22"/>
                <w:szCs w:val="22"/>
              </w:rPr>
              <w:t>1-18</w:t>
            </w:r>
            <w:r>
              <w:rPr>
                <w:rFonts w:hint="eastAsia"/>
                <w:bCs/>
                <w:color w:val="000000"/>
                <w:kern w:val="0"/>
                <w:sz w:val="22"/>
                <w:szCs w:val="22"/>
              </w:rPr>
              <w:t>项，因不可抗力（如台风、冰雹、地震等极端气候与地质灾害）造成的设施损坏或损毁的，因重大交通事故造成绿化及设施严重损失的，受损范围在处理期间豁免扣分；非日常运营及管理不当形成的局部设施破坏、损坏仍在组织维修合理时限内尚未维修完成的，豁免扣分；</w:t>
            </w:r>
          </w:p>
          <w:p w14:paraId="0D6B14C3">
            <w:pPr>
              <w:widowControl/>
              <w:ind w:firstLine="429" w:firstLineChars="195"/>
              <w:rPr>
                <w:b/>
                <w:bCs/>
                <w:color w:val="000000"/>
                <w:kern w:val="0"/>
                <w:sz w:val="22"/>
                <w:szCs w:val="22"/>
              </w:rPr>
            </w:pPr>
            <w:r>
              <w:rPr>
                <w:bCs/>
                <w:color w:val="000000"/>
                <w:kern w:val="0"/>
                <w:sz w:val="22"/>
                <w:szCs w:val="22"/>
              </w:rPr>
              <w:t>3</w:t>
            </w:r>
            <w:r>
              <w:rPr>
                <w:rFonts w:hint="eastAsia"/>
                <w:bCs/>
                <w:color w:val="000000"/>
                <w:kern w:val="0"/>
                <w:sz w:val="22"/>
                <w:szCs w:val="22"/>
              </w:rPr>
              <w:t>、</w:t>
            </w:r>
            <w:r>
              <w:rPr>
                <w:bCs/>
                <w:color w:val="000000"/>
                <w:kern w:val="0"/>
                <w:sz w:val="22"/>
                <w:szCs w:val="22"/>
              </w:rPr>
              <w:t>19-27</w:t>
            </w:r>
            <w:r>
              <w:rPr>
                <w:rFonts w:hint="eastAsia"/>
                <w:bCs/>
                <w:color w:val="000000"/>
                <w:kern w:val="0"/>
                <w:sz w:val="22"/>
                <w:szCs w:val="22"/>
              </w:rPr>
              <w:t>项，每个指标项根据项目整体情况赋分。</w:t>
            </w:r>
          </w:p>
        </w:tc>
      </w:tr>
    </w:tbl>
    <w:p w14:paraId="7C361521">
      <w:pPr>
        <w:rPr>
          <w:rFonts w:hint="eastAsia"/>
          <w:lang w:val="en-US" w:eastAsia="zh-CN"/>
        </w:rPr>
      </w:pPr>
    </w:p>
    <w:p w14:paraId="7488FAAE"/>
    <w:sectPr>
      <w:headerReference r:id="rId6" w:type="default"/>
      <w:footerReference r:id="rId7" w:type="default"/>
      <w:pgSz w:w="16838" w:h="11906" w:orient="landscape"/>
      <w:pgMar w:top="1179" w:right="1440" w:bottom="1264" w:left="1440" w:header="851" w:footer="992" w:gutter="0"/>
      <w:pgNumType w:fmt="numberInDash"/>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BA88F">
    <w:pPr>
      <w:pStyle w:val="11"/>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A06380">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- 21 -</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16A06380">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- 21 -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2DB2D">
    <w:pPr>
      <w:pStyle w:val="11"/>
      <w:bidi w:val="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E61175">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19E61175">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BF1E0">
    <w:pPr>
      <w:pStyle w:val="11"/>
      <w:ind w:firstLine="361"/>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FC452E">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- 54 -</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7FC452E">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- 54 -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8F4F5">
    <w:pPr>
      <w:pStyle w:val="12"/>
      <w:rPr>
        <w:rFonts w:hint="eastAsia"/>
        <w:lang w:val="en-US" w:eastAsia="zh-CN"/>
      </w:rPr>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473700" cy="3128645"/>
          <wp:effectExtent l="304800" t="1477010" r="317500" b="1490345"/>
          <wp:wrapNone/>
          <wp:docPr id="3" name="WordPictureWatermark27502" descr="7、公司logo(原图透明度调整为75%，插入水印尺寸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27502" descr="7、公司logo(原图透明度调整为75%，插入水印尺寸95%）"/>
                  <pic:cNvPicPr>
                    <a:picLocks noChangeAspect="1"/>
                  </pic:cNvPicPr>
                </pic:nvPicPr>
                <pic:blipFill>
                  <a:blip r:embed="rId1">
                    <a:lum bright="70000" contrast="-70000"/>
                  </a:blip>
                  <a:stretch>
                    <a:fillRect/>
                  </a:stretch>
                </pic:blipFill>
                <pic:spPr>
                  <a:xfrm rot="18900000">
                    <a:off x="0" y="0"/>
                    <a:ext cx="5473700" cy="312864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144E7">
    <w:pPr>
      <w:pStyle w:val="12"/>
      <w:ind w:firstLine="36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9F8F9"/>
    <w:multiLevelType w:val="singleLevel"/>
    <w:tmpl w:val="8359F8F9"/>
    <w:lvl w:ilvl="0" w:tentative="0">
      <w:start w:val="1"/>
      <w:numFmt w:val="decimal"/>
      <w:suff w:val="nothing"/>
      <w:lvlText w:val="%1、"/>
      <w:lvlJc w:val="left"/>
    </w:lvl>
  </w:abstractNum>
  <w:abstractNum w:abstractNumId="1">
    <w:nsid w:val="9FCE44E3"/>
    <w:multiLevelType w:val="singleLevel"/>
    <w:tmpl w:val="9FCE44E3"/>
    <w:lvl w:ilvl="0" w:tentative="0">
      <w:start w:val="1"/>
      <w:numFmt w:val="chineseCounting"/>
      <w:suff w:val="nothing"/>
      <w:lvlText w:val="%1、"/>
      <w:lvlJc w:val="left"/>
      <w:rPr>
        <w:rFonts w:hint="eastAsia"/>
      </w:rPr>
    </w:lvl>
  </w:abstractNum>
  <w:abstractNum w:abstractNumId="2">
    <w:nsid w:val="CCAC7462"/>
    <w:multiLevelType w:val="singleLevel"/>
    <w:tmpl w:val="CCAC7462"/>
    <w:lvl w:ilvl="0" w:tentative="0">
      <w:start w:val="1"/>
      <w:numFmt w:val="decimal"/>
      <w:suff w:val="nothing"/>
      <w:lvlText w:val="%1、"/>
      <w:lvlJc w:val="left"/>
    </w:lvl>
  </w:abstractNum>
  <w:abstractNum w:abstractNumId="3">
    <w:nsid w:val="0ED799C3"/>
    <w:multiLevelType w:val="singleLevel"/>
    <w:tmpl w:val="0ED799C3"/>
    <w:lvl w:ilvl="0" w:tentative="0">
      <w:start w:val="3"/>
      <w:numFmt w:val="chineseCounting"/>
      <w:suff w:val="nothing"/>
      <w:lvlText w:val="（%1）"/>
      <w:lvlJc w:val="left"/>
      <w:rPr>
        <w:rFonts w:hint="eastAsia"/>
      </w:rPr>
    </w:lvl>
  </w:abstractNum>
  <w:abstractNum w:abstractNumId="4">
    <w:nsid w:val="7C8A8F1E"/>
    <w:multiLevelType w:val="singleLevel"/>
    <w:tmpl w:val="7C8A8F1E"/>
    <w:lvl w:ilvl="0" w:tentative="0">
      <w:start w:val="2"/>
      <w:numFmt w:val="decimal"/>
      <w:suff w:val="nothing"/>
      <w:lvlText w:val="%1、"/>
      <w:lvlJc w:val="left"/>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00454EA"/>
    <w:rsid w:val="000A0C6C"/>
    <w:rsid w:val="0010054B"/>
    <w:rsid w:val="001914DD"/>
    <w:rsid w:val="00210A30"/>
    <w:rsid w:val="00262729"/>
    <w:rsid w:val="0027753E"/>
    <w:rsid w:val="0029196F"/>
    <w:rsid w:val="002B0EDC"/>
    <w:rsid w:val="00336A05"/>
    <w:rsid w:val="003401FD"/>
    <w:rsid w:val="003423A5"/>
    <w:rsid w:val="0039476F"/>
    <w:rsid w:val="00394906"/>
    <w:rsid w:val="003A5444"/>
    <w:rsid w:val="0040210C"/>
    <w:rsid w:val="00411E31"/>
    <w:rsid w:val="004560C5"/>
    <w:rsid w:val="00456BCD"/>
    <w:rsid w:val="004661F7"/>
    <w:rsid w:val="004720FF"/>
    <w:rsid w:val="004B5344"/>
    <w:rsid w:val="004D641F"/>
    <w:rsid w:val="005126AD"/>
    <w:rsid w:val="005339AF"/>
    <w:rsid w:val="0055172D"/>
    <w:rsid w:val="005952A8"/>
    <w:rsid w:val="00597349"/>
    <w:rsid w:val="005B7979"/>
    <w:rsid w:val="00640032"/>
    <w:rsid w:val="006658DD"/>
    <w:rsid w:val="0068200E"/>
    <w:rsid w:val="006A37BA"/>
    <w:rsid w:val="006B277F"/>
    <w:rsid w:val="006B2CD6"/>
    <w:rsid w:val="006D0F4D"/>
    <w:rsid w:val="00707BBF"/>
    <w:rsid w:val="00715331"/>
    <w:rsid w:val="00742FDD"/>
    <w:rsid w:val="00785098"/>
    <w:rsid w:val="007A3603"/>
    <w:rsid w:val="007A7608"/>
    <w:rsid w:val="007B5708"/>
    <w:rsid w:val="007D2ADE"/>
    <w:rsid w:val="00807B85"/>
    <w:rsid w:val="00831770"/>
    <w:rsid w:val="008A56BD"/>
    <w:rsid w:val="008F1819"/>
    <w:rsid w:val="0092029F"/>
    <w:rsid w:val="00955250"/>
    <w:rsid w:val="009D3740"/>
    <w:rsid w:val="009D4288"/>
    <w:rsid w:val="00A31BC3"/>
    <w:rsid w:val="00A36840"/>
    <w:rsid w:val="00A5578D"/>
    <w:rsid w:val="00A95660"/>
    <w:rsid w:val="00AA421F"/>
    <w:rsid w:val="00AA6F87"/>
    <w:rsid w:val="00AC0E93"/>
    <w:rsid w:val="00AC5A36"/>
    <w:rsid w:val="00AC5BF0"/>
    <w:rsid w:val="00AE4174"/>
    <w:rsid w:val="00B12700"/>
    <w:rsid w:val="00B3402D"/>
    <w:rsid w:val="00B93BA5"/>
    <w:rsid w:val="00BB594D"/>
    <w:rsid w:val="00BF08AB"/>
    <w:rsid w:val="00C03D41"/>
    <w:rsid w:val="00C15461"/>
    <w:rsid w:val="00C21DAD"/>
    <w:rsid w:val="00C22176"/>
    <w:rsid w:val="00C53A80"/>
    <w:rsid w:val="00C9617B"/>
    <w:rsid w:val="00CE71C9"/>
    <w:rsid w:val="00CF39E6"/>
    <w:rsid w:val="00D11CC4"/>
    <w:rsid w:val="00D45B73"/>
    <w:rsid w:val="00D55DDF"/>
    <w:rsid w:val="00DD63AF"/>
    <w:rsid w:val="00E040E6"/>
    <w:rsid w:val="00E25D59"/>
    <w:rsid w:val="00E3313E"/>
    <w:rsid w:val="00E55F5F"/>
    <w:rsid w:val="00E7241B"/>
    <w:rsid w:val="00E755EA"/>
    <w:rsid w:val="00EA1507"/>
    <w:rsid w:val="00EB1669"/>
    <w:rsid w:val="00F017F7"/>
    <w:rsid w:val="00F25C6B"/>
    <w:rsid w:val="00F366F0"/>
    <w:rsid w:val="00FA116C"/>
    <w:rsid w:val="00FC2682"/>
    <w:rsid w:val="00FC4C84"/>
    <w:rsid w:val="014B6C9A"/>
    <w:rsid w:val="01AD5116"/>
    <w:rsid w:val="024A30FF"/>
    <w:rsid w:val="024D517C"/>
    <w:rsid w:val="02BC5875"/>
    <w:rsid w:val="036F73CD"/>
    <w:rsid w:val="058C7E64"/>
    <w:rsid w:val="05B3152F"/>
    <w:rsid w:val="060D2627"/>
    <w:rsid w:val="064117D3"/>
    <w:rsid w:val="0664493D"/>
    <w:rsid w:val="06FB0E58"/>
    <w:rsid w:val="07F81E33"/>
    <w:rsid w:val="08346595"/>
    <w:rsid w:val="088656AD"/>
    <w:rsid w:val="08A300C3"/>
    <w:rsid w:val="08F52C02"/>
    <w:rsid w:val="08FB4D60"/>
    <w:rsid w:val="094C762E"/>
    <w:rsid w:val="09651747"/>
    <w:rsid w:val="09902086"/>
    <w:rsid w:val="0A2B40C2"/>
    <w:rsid w:val="0A7D3A0B"/>
    <w:rsid w:val="0A7E0C9E"/>
    <w:rsid w:val="0A9E584F"/>
    <w:rsid w:val="0ABC39D8"/>
    <w:rsid w:val="0C380864"/>
    <w:rsid w:val="0D435CF0"/>
    <w:rsid w:val="0D5B23CC"/>
    <w:rsid w:val="0D8B3083"/>
    <w:rsid w:val="0E1575D1"/>
    <w:rsid w:val="0E213296"/>
    <w:rsid w:val="0E6601D0"/>
    <w:rsid w:val="0F571DE7"/>
    <w:rsid w:val="0FFB54E4"/>
    <w:rsid w:val="10A14A82"/>
    <w:rsid w:val="10FA1A6A"/>
    <w:rsid w:val="10FC28DE"/>
    <w:rsid w:val="11FC21F1"/>
    <w:rsid w:val="128C4F28"/>
    <w:rsid w:val="12F21F22"/>
    <w:rsid w:val="140B4E5D"/>
    <w:rsid w:val="1437301A"/>
    <w:rsid w:val="143F60A1"/>
    <w:rsid w:val="14F9086D"/>
    <w:rsid w:val="150838E9"/>
    <w:rsid w:val="150C1F90"/>
    <w:rsid w:val="15B4059B"/>
    <w:rsid w:val="16D80B50"/>
    <w:rsid w:val="16E04D40"/>
    <w:rsid w:val="16EF2E80"/>
    <w:rsid w:val="16F5284C"/>
    <w:rsid w:val="172401FC"/>
    <w:rsid w:val="175E1271"/>
    <w:rsid w:val="177B16DD"/>
    <w:rsid w:val="17F13B56"/>
    <w:rsid w:val="17F90A1F"/>
    <w:rsid w:val="18651DBE"/>
    <w:rsid w:val="188B1748"/>
    <w:rsid w:val="18FD3554"/>
    <w:rsid w:val="1950327C"/>
    <w:rsid w:val="198F3DC5"/>
    <w:rsid w:val="19923117"/>
    <w:rsid w:val="19DA5BF6"/>
    <w:rsid w:val="1A6E25BB"/>
    <w:rsid w:val="1B3C7030"/>
    <w:rsid w:val="1BB174DD"/>
    <w:rsid w:val="1BB3427C"/>
    <w:rsid w:val="1C7806FB"/>
    <w:rsid w:val="1CF10D17"/>
    <w:rsid w:val="1E0E35A5"/>
    <w:rsid w:val="1E1925A1"/>
    <w:rsid w:val="1EF53F2C"/>
    <w:rsid w:val="1F4F5857"/>
    <w:rsid w:val="1FDC62F1"/>
    <w:rsid w:val="1FFD3D2E"/>
    <w:rsid w:val="20397F2D"/>
    <w:rsid w:val="20660E66"/>
    <w:rsid w:val="20966027"/>
    <w:rsid w:val="20B979B2"/>
    <w:rsid w:val="20F86C66"/>
    <w:rsid w:val="21A9704B"/>
    <w:rsid w:val="22C24A6D"/>
    <w:rsid w:val="23F95523"/>
    <w:rsid w:val="240C6FC1"/>
    <w:rsid w:val="243674C1"/>
    <w:rsid w:val="24923529"/>
    <w:rsid w:val="25AC1A52"/>
    <w:rsid w:val="25AC3ECC"/>
    <w:rsid w:val="25CC4F38"/>
    <w:rsid w:val="25CE726C"/>
    <w:rsid w:val="26067F9E"/>
    <w:rsid w:val="268202E5"/>
    <w:rsid w:val="269620A9"/>
    <w:rsid w:val="26B57A9E"/>
    <w:rsid w:val="273F34FA"/>
    <w:rsid w:val="29385A89"/>
    <w:rsid w:val="296B54EF"/>
    <w:rsid w:val="29931E14"/>
    <w:rsid w:val="2A1D189D"/>
    <w:rsid w:val="2A5C1303"/>
    <w:rsid w:val="2A76033E"/>
    <w:rsid w:val="2AB11EC3"/>
    <w:rsid w:val="2BF235E5"/>
    <w:rsid w:val="2BFB6029"/>
    <w:rsid w:val="2C183950"/>
    <w:rsid w:val="2CA46F92"/>
    <w:rsid w:val="2CAB70C0"/>
    <w:rsid w:val="2D2E3708"/>
    <w:rsid w:val="2D4B6EAD"/>
    <w:rsid w:val="2DDD275B"/>
    <w:rsid w:val="2EA60DD6"/>
    <w:rsid w:val="2EAD2DD1"/>
    <w:rsid w:val="2EE70255"/>
    <w:rsid w:val="2EED2E72"/>
    <w:rsid w:val="2F331616"/>
    <w:rsid w:val="2F6F35B8"/>
    <w:rsid w:val="2F7B4131"/>
    <w:rsid w:val="2FD47A9D"/>
    <w:rsid w:val="30284F2D"/>
    <w:rsid w:val="30407482"/>
    <w:rsid w:val="314D1797"/>
    <w:rsid w:val="322A4C00"/>
    <w:rsid w:val="32986074"/>
    <w:rsid w:val="32B12408"/>
    <w:rsid w:val="32F73025"/>
    <w:rsid w:val="33CC1E64"/>
    <w:rsid w:val="34390751"/>
    <w:rsid w:val="346E6B7F"/>
    <w:rsid w:val="34942E9F"/>
    <w:rsid w:val="34B25A95"/>
    <w:rsid w:val="34C66947"/>
    <w:rsid w:val="34DF500B"/>
    <w:rsid w:val="36B61B40"/>
    <w:rsid w:val="3760485E"/>
    <w:rsid w:val="38E3340E"/>
    <w:rsid w:val="39553F77"/>
    <w:rsid w:val="398A6F4F"/>
    <w:rsid w:val="39C872B8"/>
    <w:rsid w:val="3A8373E6"/>
    <w:rsid w:val="3B346B06"/>
    <w:rsid w:val="3B790C66"/>
    <w:rsid w:val="3C375C11"/>
    <w:rsid w:val="3CC4780E"/>
    <w:rsid w:val="3CCF61D5"/>
    <w:rsid w:val="3D203E96"/>
    <w:rsid w:val="3D580050"/>
    <w:rsid w:val="3DCB473F"/>
    <w:rsid w:val="3DDA74DC"/>
    <w:rsid w:val="3EE460A6"/>
    <w:rsid w:val="3EE94E91"/>
    <w:rsid w:val="3F805287"/>
    <w:rsid w:val="401933BF"/>
    <w:rsid w:val="401B49F1"/>
    <w:rsid w:val="407C2246"/>
    <w:rsid w:val="41BD56D3"/>
    <w:rsid w:val="42042555"/>
    <w:rsid w:val="427B0BC9"/>
    <w:rsid w:val="42913872"/>
    <w:rsid w:val="42CD2318"/>
    <w:rsid w:val="43AF6E6A"/>
    <w:rsid w:val="43DB70C2"/>
    <w:rsid w:val="44743BF0"/>
    <w:rsid w:val="448A4217"/>
    <w:rsid w:val="44D27671"/>
    <w:rsid w:val="45466415"/>
    <w:rsid w:val="46345310"/>
    <w:rsid w:val="46606607"/>
    <w:rsid w:val="46D40981"/>
    <w:rsid w:val="48475477"/>
    <w:rsid w:val="48AD296E"/>
    <w:rsid w:val="48C02695"/>
    <w:rsid w:val="4933371F"/>
    <w:rsid w:val="4A7D1CB1"/>
    <w:rsid w:val="4A90461A"/>
    <w:rsid w:val="4AF72C27"/>
    <w:rsid w:val="4B4F5738"/>
    <w:rsid w:val="4BEB0F8C"/>
    <w:rsid w:val="4C95730F"/>
    <w:rsid w:val="4CC145B3"/>
    <w:rsid w:val="4CFA6A2E"/>
    <w:rsid w:val="4D4626C8"/>
    <w:rsid w:val="4D72579F"/>
    <w:rsid w:val="4ED11A10"/>
    <w:rsid w:val="4EEF77D9"/>
    <w:rsid w:val="4F22401A"/>
    <w:rsid w:val="4F2C520F"/>
    <w:rsid w:val="4F3B50DC"/>
    <w:rsid w:val="4F9801E7"/>
    <w:rsid w:val="50461F8A"/>
    <w:rsid w:val="50793C99"/>
    <w:rsid w:val="50812FC2"/>
    <w:rsid w:val="50DC22A0"/>
    <w:rsid w:val="526B23B2"/>
    <w:rsid w:val="529214B7"/>
    <w:rsid w:val="52B64033"/>
    <w:rsid w:val="532950EE"/>
    <w:rsid w:val="53733096"/>
    <w:rsid w:val="53AA1332"/>
    <w:rsid w:val="53EE6BC1"/>
    <w:rsid w:val="54E3322D"/>
    <w:rsid w:val="54F657C1"/>
    <w:rsid w:val="56424FA2"/>
    <w:rsid w:val="57230952"/>
    <w:rsid w:val="57376AD1"/>
    <w:rsid w:val="57522A51"/>
    <w:rsid w:val="580C1BEC"/>
    <w:rsid w:val="580C6F3F"/>
    <w:rsid w:val="5845401C"/>
    <w:rsid w:val="58705748"/>
    <w:rsid w:val="596D4A2C"/>
    <w:rsid w:val="59875B51"/>
    <w:rsid w:val="5B73507F"/>
    <w:rsid w:val="5BEF797A"/>
    <w:rsid w:val="5C090F0F"/>
    <w:rsid w:val="5C1678E0"/>
    <w:rsid w:val="5CA24E7A"/>
    <w:rsid w:val="5EC87CEE"/>
    <w:rsid w:val="5ED66666"/>
    <w:rsid w:val="5F7E0DDA"/>
    <w:rsid w:val="5FA2762C"/>
    <w:rsid w:val="5FFB77AC"/>
    <w:rsid w:val="6031230F"/>
    <w:rsid w:val="607105DC"/>
    <w:rsid w:val="609360DE"/>
    <w:rsid w:val="60A87BAD"/>
    <w:rsid w:val="60AC7520"/>
    <w:rsid w:val="61083DAF"/>
    <w:rsid w:val="61990971"/>
    <w:rsid w:val="61BC533B"/>
    <w:rsid w:val="62D64101"/>
    <w:rsid w:val="630A2043"/>
    <w:rsid w:val="6364285D"/>
    <w:rsid w:val="63655FE2"/>
    <w:rsid w:val="63665421"/>
    <w:rsid w:val="650E0CA2"/>
    <w:rsid w:val="65E47E23"/>
    <w:rsid w:val="66221F5E"/>
    <w:rsid w:val="66226353"/>
    <w:rsid w:val="669E0497"/>
    <w:rsid w:val="67121B6C"/>
    <w:rsid w:val="67B31BB7"/>
    <w:rsid w:val="67DD7FA5"/>
    <w:rsid w:val="68083E32"/>
    <w:rsid w:val="680E6F72"/>
    <w:rsid w:val="689950F9"/>
    <w:rsid w:val="68D873D7"/>
    <w:rsid w:val="69244882"/>
    <w:rsid w:val="69DD59B8"/>
    <w:rsid w:val="6A066117"/>
    <w:rsid w:val="6A51371E"/>
    <w:rsid w:val="6AB563C0"/>
    <w:rsid w:val="6ACB5B2B"/>
    <w:rsid w:val="6AD63EF6"/>
    <w:rsid w:val="6B2576FD"/>
    <w:rsid w:val="6BEF307E"/>
    <w:rsid w:val="6CF32E05"/>
    <w:rsid w:val="6D8E6FF3"/>
    <w:rsid w:val="6DAE24A2"/>
    <w:rsid w:val="6DD4040B"/>
    <w:rsid w:val="6E244BCE"/>
    <w:rsid w:val="6EAC0545"/>
    <w:rsid w:val="6EB671F4"/>
    <w:rsid w:val="6F0025C6"/>
    <w:rsid w:val="6F0D7E9E"/>
    <w:rsid w:val="6F370F32"/>
    <w:rsid w:val="6FDD7C1E"/>
    <w:rsid w:val="71332962"/>
    <w:rsid w:val="71774396"/>
    <w:rsid w:val="72044E22"/>
    <w:rsid w:val="729F7530"/>
    <w:rsid w:val="72C2773E"/>
    <w:rsid w:val="73D20082"/>
    <w:rsid w:val="73E37D26"/>
    <w:rsid w:val="74173A78"/>
    <w:rsid w:val="74A0081C"/>
    <w:rsid w:val="74B67236"/>
    <w:rsid w:val="750232A8"/>
    <w:rsid w:val="75F16FE0"/>
    <w:rsid w:val="75F82D28"/>
    <w:rsid w:val="76D76411"/>
    <w:rsid w:val="77804B78"/>
    <w:rsid w:val="77CC339C"/>
    <w:rsid w:val="77E85F14"/>
    <w:rsid w:val="786912C5"/>
    <w:rsid w:val="786A7F95"/>
    <w:rsid w:val="788D7EA7"/>
    <w:rsid w:val="794B0E00"/>
    <w:rsid w:val="795135CA"/>
    <w:rsid w:val="7A0F3269"/>
    <w:rsid w:val="7A1B7966"/>
    <w:rsid w:val="7AA92DFA"/>
    <w:rsid w:val="7B65103C"/>
    <w:rsid w:val="7B9A5307"/>
    <w:rsid w:val="7BF33070"/>
    <w:rsid w:val="7C012B77"/>
    <w:rsid w:val="7C750A2C"/>
    <w:rsid w:val="7CB1418D"/>
    <w:rsid w:val="7D111591"/>
    <w:rsid w:val="7D4D5A42"/>
    <w:rsid w:val="7E7A640D"/>
    <w:rsid w:val="7F742784"/>
    <w:rsid w:val="7F976276"/>
    <w:rsid w:val="7FBB2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autoRedefine/>
    <w:unhideWhenUsed/>
    <w:qFormat/>
    <w:uiPriority w:val="99"/>
    <w:pPr>
      <w:ind w:firstLine="420" w:firstLineChars="100"/>
    </w:pPr>
    <w:rPr>
      <w:szCs w:val="24"/>
    </w:rPr>
  </w:style>
  <w:style w:type="paragraph" w:styleId="3">
    <w:name w:val="Body Text"/>
    <w:basedOn w:val="1"/>
    <w:next w:val="1"/>
    <w:autoRedefine/>
    <w:unhideWhenUsed/>
    <w:qFormat/>
    <w:uiPriority w:val="99"/>
    <w:pPr>
      <w:spacing w:after="120"/>
    </w:pPr>
  </w:style>
  <w:style w:type="paragraph" w:styleId="5">
    <w:name w:val="Normal Indent"/>
    <w:basedOn w:val="1"/>
    <w:autoRedefine/>
    <w:qFormat/>
    <w:uiPriority w:val="0"/>
    <w:pPr>
      <w:ind w:firstLine="420" w:firstLineChars="200"/>
    </w:pPr>
    <w:rPr>
      <w:kern w:val="0"/>
      <w:sz w:val="20"/>
      <w:szCs w:val="24"/>
    </w:rPr>
  </w:style>
  <w:style w:type="paragraph" w:styleId="6">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7">
    <w:name w:val="annotation text"/>
    <w:basedOn w:val="1"/>
    <w:qFormat/>
    <w:uiPriority w:val="0"/>
    <w:pPr>
      <w:jc w:val="left"/>
    </w:pPr>
  </w:style>
  <w:style w:type="paragraph" w:styleId="8">
    <w:name w:val="Body Text Indent"/>
    <w:basedOn w:val="1"/>
    <w:autoRedefine/>
    <w:qFormat/>
    <w:uiPriority w:val="0"/>
    <w:pPr>
      <w:spacing w:after="120"/>
      <w:ind w:left="420" w:leftChars="200"/>
    </w:pPr>
    <w:rPr>
      <w:kern w:val="0"/>
      <w:sz w:val="20"/>
      <w:szCs w:val="24"/>
    </w:rPr>
  </w:style>
  <w:style w:type="paragraph" w:styleId="9">
    <w:name w:val="Plain Text"/>
    <w:basedOn w:val="1"/>
    <w:qFormat/>
    <w:uiPriority w:val="0"/>
    <w:pPr>
      <w:widowControl/>
      <w:spacing w:before="100" w:beforeAutospacing="1" w:after="100" w:afterAutospacing="1"/>
      <w:jc w:val="left"/>
    </w:pPr>
    <w:rPr>
      <w:rFonts w:ascii="Arial Unicode MS" w:hAnsi="Arial Unicode MS"/>
      <w:kern w:val="0"/>
      <w:sz w:val="24"/>
    </w:rPr>
  </w:style>
  <w:style w:type="paragraph" w:styleId="10">
    <w:name w:val="Balloon Text"/>
    <w:basedOn w:val="1"/>
    <w:link w:val="32"/>
    <w:qFormat/>
    <w:uiPriority w:val="0"/>
    <w:rPr>
      <w:sz w:val="18"/>
      <w:szCs w:val="18"/>
    </w:rPr>
  </w:style>
  <w:style w:type="paragraph" w:styleId="11">
    <w:name w:val="footer"/>
    <w:basedOn w:val="1"/>
    <w:autoRedefine/>
    <w:unhideWhenUsed/>
    <w:qFormat/>
    <w:uiPriority w:val="0"/>
    <w:pPr>
      <w:tabs>
        <w:tab w:val="center" w:pos="4153"/>
        <w:tab w:val="right" w:pos="8306"/>
      </w:tabs>
      <w:snapToGrid w:val="0"/>
      <w:jc w:val="left"/>
    </w:pPr>
    <w:rPr>
      <w:kern w:val="0"/>
      <w:sz w:val="18"/>
      <w:szCs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6"/>
    <w:basedOn w:val="1"/>
    <w:next w:val="1"/>
    <w:autoRedefine/>
    <w:qFormat/>
    <w:uiPriority w:val="99"/>
    <w:pPr>
      <w:ind w:left="2100" w:leftChars="1000"/>
    </w:pPr>
    <w:rPr>
      <w:rFonts w:ascii="Calibri" w:hAnsi="Calibri"/>
    </w:rPr>
  </w:style>
  <w:style w:type="paragraph" w:styleId="14">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Body Text First Indent 2"/>
    <w:basedOn w:val="8"/>
    <w:link w:val="33"/>
    <w:autoRedefine/>
    <w:qFormat/>
    <w:uiPriority w:val="0"/>
    <w:pPr>
      <w:tabs>
        <w:tab w:val="left" w:pos="0"/>
        <w:tab w:val="left" w:pos="993"/>
        <w:tab w:val="left" w:pos="1134"/>
        <w:tab w:val="left" w:pos="7060"/>
      </w:tabs>
      <w:spacing w:after="0" w:line="560" w:lineRule="exact"/>
      <w:ind w:left="0" w:leftChars="0"/>
      <w:jc w:val="center"/>
    </w:pPr>
    <w:rPr>
      <w:rFonts w:ascii="仿宋_GB2312" w:hAnsi="仿宋_GB2312" w:eastAsia="仿宋_GB2312" w:cs="仿宋_GB2312"/>
      <w:color w:val="000000" w:themeColor="text1"/>
      <w:sz w:val="28"/>
      <w:szCs w:val="28"/>
      <w14:textFill>
        <w14:solidFill>
          <w14:schemeClr w14:val="tx1"/>
        </w14:solidFill>
      </w14:textFill>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FollowedHyperlink"/>
    <w:basedOn w:val="18"/>
    <w:qFormat/>
    <w:uiPriority w:val="0"/>
    <w:rPr>
      <w:color w:val="800080"/>
      <w:u w:val="none"/>
    </w:rPr>
  </w:style>
  <w:style w:type="character" w:styleId="21">
    <w:name w:val="HTML Definition"/>
    <w:basedOn w:val="18"/>
    <w:qFormat/>
    <w:uiPriority w:val="0"/>
  </w:style>
  <w:style w:type="character" w:styleId="22">
    <w:name w:val="HTML Typewriter"/>
    <w:basedOn w:val="18"/>
    <w:qFormat/>
    <w:uiPriority w:val="0"/>
    <w:rPr>
      <w:rFonts w:hint="default" w:ascii="monospace" w:hAnsi="monospace" w:eastAsia="monospace" w:cs="monospace"/>
      <w:sz w:val="20"/>
    </w:rPr>
  </w:style>
  <w:style w:type="character" w:styleId="23">
    <w:name w:val="HTML Acronym"/>
    <w:basedOn w:val="18"/>
    <w:qFormat/>
    <w:uiPriority w:val="0"/>
  </w:style>
  <w:style w:type="character" w:styleId="24">
    <w:name w:val="HTML Variable"/>
    <w:basedOn w:val="18"/>
    <w:qFormat/>
    <w:uiPriority w:val="0"/>
  </w:style>
  <w:style w:type="character" w:styleId="25">
    <w:name w:val="Hyperlink"/>
    <w:basedOn w:val="18"/>
    <w:qFormat/>
    <w:uiPriority w:val="0"/>
    <w:rPr>
      <w:color w:val="0000FF"/>
      <w:u w:val="none"/>
    </w:rPr>
  </w:style>
  <w:style w:type="character" w:styleId="26">
    <w:name w:val="HTML Code"/>
    <w:basedOn w:val="18"/>
    <w:qFormat/>
    <w:uiPriority w:val="0"/>
    <w:rPr>
      <w:rFonts w:ascii="monospace" w:hAnsi="monospace" w:eastAsia="monospace" w:cs="monospace"/>
      <w:sz w:val="20"/>
    </w:rPr>
  </w:style>
  <w:style w:type="character" w:styleId="27">
    <w:name w:val="HTML Cite"/>
    <w:basedOn w:val="18"/>
    <w:qFormat/>
    <w:uiPriority w:val="0"/>
  </w:style>
  <w:style w:type="character" w:styleId="28">
    <w:name w:val="HTML Keyboard"/>
    <w:basedOn w:val="18"/>
    <w:qFormat/>
    <w:uiPriority w:val="0"/>
    <w:rPr>
      <w:rFonts w:hint="default" w:ascii="monospace" w:hAnsi="monospace" w:eastAsia="monospace" w:cs="monospace"/>
      <w:sz w:val="20"/>
    </w:rPr>
  </w:style>
  <w:style w:type="character" w:styleId="29">
    <w:name w:val="HTML Sample"/>
    <w:basedOn w:val="18"/>
    <w:qFormat/>
    <w:uiPriority w:val="0"/>
    <w:rPr>
      <w:rFonts w:hint="default" w:ascii="monospace" w:hAnsi="monospace" w:eastAsia="monospace" w:cs="monospace"/>
    </w:rPr>
  </w:style>
  <w:style w:type="paragraph" w:customStyle="1" w:styleId="30">
    <w:name w:val="正式标题"/>
    <w:basedOn w:val="1"/>
    <w:autoRedefine/>
    <w:qFormat/>
    <w:uiPriority w:val="0"/>
    <w:pPr>
      <w:spacing w:beforeLines="150" w:afterLines="150"/>
      <w:jc w:val="center"/>
    </w:pPr>
    <w:rPr>
      <w:rFonts w:ascii="华文中宋" w:hAnsi="华文中宋" w:eastAsia="华文中宋"/>
      <w:b/>
      <w:bCs/>
      <w:sz w:val="44"/>
      <w:szCs w:val="44"/>
    </w:rPr>
  </w:style>
  <w:style w:type="paragraph" w:customStyle="1" w:styleId="31">
    <w:name w:val="普通正文"/>
    <w:basedOn w:val="1"/>
    <w:autoRedefine/>
    <w:qFormat/>
    <w:uiPriority w:val="0"/>
    <w:pPr>
      <w:spacing w:line="360" w:lineRule="auto"/>
      <w:ind w:firstLine="480" w:firstLineChars="200"/>
    </w:pPr>
    <w:rPr>
      <w:rFonts w:ascii="仿宋" w:hAnsi="仿宋" w:eastAsia="仿宋"/>
      <w:sz w:val="24"/>
      <w:szCs w:val="24"/>
    </w:rPr>
  </w:style>
  <w:style w:type="character" w:customStyle="1" w:styleId="32">
    <w:name w:val="批注框文本 Char"/>
    <w:basedOn w:val="18"/>
    <w:link w:val="10"/>
    <w:qFormat/>
    <w:uiPriority w:val="0"/>
    <w:rPr>
      <w:rFonts w:ascii="Times New Roman" w:hAnsi="Times New Roman" w:eastAsia="宋体" w:cs="Times New Roman"/>
      <w:kern w:val="2"/>
      <w:sz w:val="18"/>
      <w:szCs w:val="18"/>
    </w:rPr>
  </w:style>
  <w:style w:type="character" w:customStyle="1" w:styleId="33">
    <w:name w:val="正文首行缩进 2 Char"/>
    <w:basedOn w:val="18"/>
    <w:link w:val="15"/>
    <w:qFormat/>
    <w:uiPriority w:val="0"/>
    <w:rPr>
      <w:rFonts w:ascii="仿宋_GB2312" w:hAnsi="仿宋_GB2312" w:eastAsia="仿宋_GB2312" w:cs="仿宋_GB2312"/>
      <w:color w:val="000000" w:themeColor="text1"/>
      <w:sz w:val="28"/>
      <w:szCs w:val="28"/>
      <w14:textFill>
        <w14:solidFill>
          <w14:schemeClr w14:val="tx1"/>
        </w14:solidFill>
      </w14:textFill>
    </w:rPr>
  </w:style>
  <w:style w:type="paragraph" w:customStyle="1" w:styleId="34">
    <w:name w:val="_Style 1"/>
    <w:next w:val="1"/>
    <w:qFormat/>
    <w:uiPriority w:val="0"/>
    <w:pPr>
      <w:widowControl w:val="0"/>
      <w:pBdr>
        <w:bottom w:val="single" w:color="auto" w:sz="6" w:space="1"/>
      </w:pBdr>
      <w:jc w:val="center"/>
    </w:pPr>
    <w:rPr>
      <w:rFonts w:ascii="Arial" w:hAnsi="Times New Roman" w:eastAsia="宋体" w:cs="Times New Roman"/>
      <w:vanish/>
      <w:color w:val="000000"/>
      <w:sz w:val="16"/>
      <w:szCs w:val="24"/>
      <w:lang w:val="en-US" w:eastAsia="en-US" w:bidi="ar-SA"/>
    </w:rPr>
  </w:style>
  <w:style w:type="character" w:customStyle="1" w:styleId="35">
    <w:name w:val="first-child"/>
    <w:basedOn w:val="18"/>
    <w:qFormat/>
    <w:uiPriority w:val="0"/>
  </w:style>
  <w:style w:type="character" w:customStyle="1" w:styleId="36">
    <w:name w:val="layui-layer-tabnow"/>
    <w:basedOn w:val="18"/>
    <w:qFormat/>
    <w:uiPriority w:val="0"/>
    <w:rPr>
      <w:bdr w:val="single" w:color="CCCCCC" w:sz="6" w:space="0"/>
      <w:shd w:val="clear" w:fill="FFFFFF"/>
    </w:rPr>
  </w:style>
  <w:style w:type="paragraph" w:customStyle="1" w:styleId="3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reader-word-layer reader-word-s6-1"/>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14:paraId="3C2F000E">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14:paraId="5C01FF43">
          <w:r>
            <w:rPr>
              <w:color w:val="808080"/>
            </w:rPr>
            <w:t>单击此处输入文字。</w:t>
          </w:r>
        </w:p>
      </w:docPartBody>
    </w:docPart>
    <w:docPart>
      <w:docPartPr>
        <w:name w:val="{341a61c0-8dc2-46d6-9aef-d8b71c7e6dc5}"/>
        <w:style w:val=""/>
        <w:category>
          <w:name w:val="常规"/>
          <w:gallery w:val="placeholder"/>
        </w:category>
        <w:types>
          <w:type w:val="bbPlcHdr"/>
        </w:types>
        <w:behaviors>
          <w:behavior w:val="content"/>
        </w:behaviors>
        <w:description w:val=""/>
        <w:guid w:val="{341a61c0-8dc2-46d6-9aef-d8b71c7e6dc5}"/>
      </w:docPartPr>
      <w:docPartBody>
        <w:p w14:paraId="50129F92">
          <w:r>
            <w:rPr>
              <w:color w:val="808080"/>
            </w:rPr>
            <w:t>单击此处输入文字。</w:t>
          </w:r>
        </w:p>
      </w:docPartBody>
    </w:docPart>
    <w:docPart>
      <w:docPartPr>
        <w:name w:val="{0b5dcc6c-5d42-420b-89b7-bfbe3c8e02e7}"/>
        <w:style w:val=""/>
        <w:category>
          <w:name w:val="常规"/>
          <w:gallery w:val="placeholder"/>
        </w:category>
        <w:types>
          <w:type w:val="bbPlcHdr"/>
        </w:types>
        <w:behaviors>
          <w:behavior w:val="content"/>
        </w:behaviors>
        <w:description w:val=""/>
        <w:guid w:val="{0b5dcc6c-5d42-420b-89b7-bfbe3c8e02e7}"/>
      </w:docPartPr>
      <w:docPartBody>
        <w:p w14:paraId="5F466E5C">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BB42C7"/>
    <w:rsid w:val="000E0838"/>
    <w:rsid w:val="00134F9B"/>
    <w:rsid w:val="0015236B"/>
    <w:rsid w:val="00166AA3"/>
    <w:rsid w:val="002B04D7"/>
    <w:rsid w:val="003C74CB"/>
    <w:rsid w:val="00896358"/>
    <w:rsid w:val="009B64E1"/>
    <w:rsid w:val="00A8552A"/>
    <w:rsid w:val="00BB42C7"/>
    <w:rsid w:val="00C12CB6"/>
    <w:rsid w:val="00C13CF1"/>
    <w:rsid w:val="00CF2AAF"/>
    <w:rsid w:val="00F66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30469</Words>
  <Characters>31224</Characters>
  <Lines>196</Lines>
  <Paragraphs>55</Paragraphs>
  <TotalTime>16</TotalTime>
  <ScaleCrop>false</ScaleCrop>
  <LinksUpToDate>false</LinksUpToDate>
  <CharactersWithSpaces>32274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合同签订完成支付合同价的20%，工程完工后支付实际完成合格工程量的60%，工程竣工验收完成且竣工结算资料提供后支付至实际完成合格工程量的80%，结算审计完成后支付至审计价的95%，尾款待保修期满后结算（无息）。</dc:creator>
  <dc:description>湖州</dc:description>
  <cp:keywords>湖州市南浔区“百漾千河”综合治理PPP项目运营养护管理</cp:keywords>
  <cp:lastModifiedBy>Administrator</cp:lastModifiedBy>
  <cp:lastPrinted>2024-09-14T08:41:00Z</cp:lastPrinted>
  <dcterms:modified xsi:type="dcterms:W3CDTF">2024-09-23T04:46:15Z</dcterms:modified>
  <dc:subject>包括但不限于艺术造型及场外定制等，最终以招标人及业主单位要求为准，直至本工程满足功能性要求及设计单位、业主单位要求并竣工验收合格为止。</dc:subject>
  <dc:title>/</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9725A0F7C44D4982B0FF30D499789F01_13</vt:lpwstr>
  </property>
</Properties>
</file>