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246996903"/>
      <w:bookmarkStart w:id="2" w:name="_Toc449509649"/>
      <w:bookmarkStart w:id="3" w:name="_Toc179632530"/>
      <w:bookmarkStart w:id="4" w:name="_Toc246996160"/>
      <w:bookmarkStart w:id="5" w:name="_Toc152042290"/>
      <w:bookmarkStart w:id="6" w:name="_Toc152045514"/>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南浔頔塘南岸新建工程-东区块CD-01-02-03C地块及CD-01-02-04C地块外墙EPS装饰线拆除劳务分包工程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2024-N-145-下01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南浔頔塘南岸新建工程-东区块CD-01-02-03C地块及CD-01-02-04C地块外墙EPS装饰线拆除劳务分包工程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湖州南浔頔塘复兴建设有限公司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外墙装饰线拆除</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zh-CN" w:eastAsia="zh-CN"/>
              </w:rPr>
              <w:t>697209</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湖州市南浔区頔塘南岸CD-01-02-03C及CD-01-02-04C</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建设内容包括但不限于EPS装饰线拆除、墙面喷刷涂料、墙面一般抹灰等工程，最终以招标人及业主单位要求为准，直至本工程满足功能性要求及设计单位、业主单位要求并竣工验收合格为止。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sz w:val="28"/>
                <w:szCs w:val="28"/>
                <w:highlight w:val="none"/>
                <w:lang w:val="en-US" w:eastAsia="zh-CN"/>
              </w:rPr>
              <w:t>-甲供材料对应款项）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bookmarkStart w:id="12" w:name="_GoBack"/>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7CF1743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17726EE">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737910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南浔頔塘南岸新建工程-东区块CD-01-02-03C地块及CD-01-02-04C地块外墙EPS装饰线拆除劳务分包工程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湖州市南浔区頔塘南岸CD-01-02-03C及CD-01-02-04C</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建设内容包括但不限于EPS装饰线拆除、墙面喷刷涂料、墙面一般抹灰等工程，最终以招标人及业主单位要求为准，直至本工程满足功能性要求及设计单位、业主单位要求并竣工验收合格为止。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sz w:val="28"/>
          <w:szCs w:val="28"/>
          <w:highlight w:val="none"/>
          <w:lang w:val="en-US" w:eastAsia="zh-CN"/>
        </w:rPr>
        <w:t>-甲供材料对应款项）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FFB54E4"/>
    <w:rsid w:val="109275A9"/>
    <w:rsid w:val="1147606A"/>
    <w:rsid w:val="128C4F28"/>
    <w:rsid w:val="130872F3"/>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BE1F6B"/>
    <w:rsid w:val="34390751"/>
    <w:rsid w:val="343D1E3E"/>
    <w:rsid w:val="34B25A95"/>
    <w:rsid w:val="34C66947"/>
    <w:rsid w:val="35C32B3D"/>
    <w:rsid w:val="37250DEE"/>
    <w:rsid w:val="37855A0B"/>
    <w:rsid w:val="38871C41"/>
    <w:rsid w:val="38993E43"/>
    <w:rsid w:val="38995E18"/>
    <w:rsid w:val="396D25ED"/>
    <w:rsid w:val="39C872B8"/>
    <w:rsid w:val="3A0B4AF4"/>
    <w:rsid w:val="3A8373E6"/>
    <w:rsid w:val="3B346B06"/>
    <w:rsid w:val="3B790C66"/>
    <w:rsid w:val="3CCF61D5"/>
    <w:rsid w:val="3EE94E91"/>
    <w:rsid w:val="401933BF"/>
    <w:rsid w:val="401B49F1"/>
    <w:rsid w:val="407C2246"/>
    <w:rsid w:val="40CC5ECD"/>
    <w:rsid w:val="41B8341B"/>
    <w:rsid w:val="41CA6631"/>
    <w:rsid w:val="42913872"/>
    <w:rsid w:val="42C67AC2"/>
    <w:rsid w:val="42E64203"/>
    <w:rsid w:val="43DB70C2"/>
    <w:rsid w:val="44743BF0"/>
    <w:rsid w:val="448A4217"/>
    <w:rsid w:val="453C0B5F"/>
    <w:rsid w:val="4544519C"/>
    <w:rsid w:val="45466415"/>
    <w:rsid w:val="46606607"/>
    <w:rsid w:val="478443ED"/>
    <w:rsid w:val="48475477"/>
    <w:rsid w:val="48AD296E"/>
    <w:rsid w:val="48FE6CB9"/>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1723E6"/>
    <w:rsid w:val="50812FC2"/>
    <w:rsid w:val="50DC22A0"/>
    <w:rsid w:val="526B23B2"/>
    <w:rsid w:val="52B64033"/>
    <w:rsid w:val="541A5D36"/>
    <w:rsid w:val="544431D4"/>
    <w:rsid w:val="55B87767"/>
    <w:rsid w:val="57230952"/>
    <w:rsid w:val="57376AD1"/>
    <w:rsid w:val="57522A51"/>
    <w:rsid w:val="580C6F3F"/>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24924</Words>
  <Characters>25429</Characters>
  <Lines>0</Lines>
  <Paragraphs>0</Paragraphs>
  <TotalTime>0</TotalTime>
  <ScaleCrop>false</ScaleCrop>
  <LinksUpToDate>false</LinksUpToDate>
  <CharactersWithSpaces>26422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湖州市南浔区頔塘南岸CD-01-02-03C及CD-01-02-04C</dc:description>
  <cp:keywords>南浔頔塘南岸新建工程-东区块CD-01-02-03C地块及CD-01-02-04C地块外墙EPS装饰线拆除劳务分包工程</cp:keywords>
  <cp:lastModifiedBy>SJ</cp:lastModifiedBy>
  <cp:lastPrinted>2024-11-01T06:43:00Z</cp:lastPrinted>
  <dcterms:modified xsi:type="dcterms:W3CDTF">2024-11-04T00:48:36Z</dcterms:modified>
  <dc:subject>建设内容包括但不限于EPS装饰线拆除、墙面喷刷涂料、墙面一般抹灰等工程，最终以招标人及业主单位要求为准，直至本工程满足功能性要求及设计单位、业主单位要求并竣工验收合格为止。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